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Default="00B27110" w:rsidP="00502F97">
      <w:pPr>
        <w:pStyle w:val="Encabezado"/>
      </w:pPr>
      <w:bookmarkStart w:id="0" w:name="_Hlk61808325"/>
      <w:bookmarkStart w:id="1" w:name="_Hlk61808326"/>
      <w:r>
        <w:tab/>
      </w:r>
      <w:bookmarkEnd w:id="0"/>
      <w:bookmarkEnd w:id="1"/>
    </w:p>
    <w:p w14:paraId="4A4AF522" w14:textId="746263BB" w:rsidR="00933CBE" w:rsidRPr="00502F97" w:rsidRDefault="00933CBE" w:rsidP="00933CBE">
      <w:pPr>
        <w:pStyle w:val="CAP3"/>
        <w:keepNext/>
        <w:rPr>
          <w:rFonts w:ascii="Century Gothic" w:hAnsi="Century Gothic"/>
          <w:sz w:val="20"/>
          <w:szCs w:val="20"/>
        </w:rPr>
      </w:pPr>
      <w:r w:rsidRPr="00502F97">
        <w:rPr>
          <w:rFonts w:ascii="Century Gothic" w:hAnsi="Century Gothic"/>
          <w:sz w:val="20"/>
          <w:szCs w:val="20"/>
        </w:rPr>
        <w:t>1. Redes de distribución</w:t>
      </w:r>
    </w:p>
    <w:p w14:paraId="38AAEA93" w14:textId="77777777" w:rsidR="00933CBE" w:rsidRPr="00502F97" w:rsidRDefault="00933CBE" w:rsidP="00933CBE">
      <w:pPr>
        <w:spacing w:after="0" w:line="0" w:lineRule="auto"/>
        <w:rPr>
          <w:rFonts w:ascii="Century Gothic" w:hAnsi="Century Gothic"/>
          <w:sz w:val="20"/>
          <w:szCs w:val="20"/>
        </w:rPr>
      </w:pPr>
      <w:bookmarkStart w:id="2" w:name="PROJ:1_anexo:1:1:_RC_:1:1"/>
      <w:bookmarkEnd w:id="2"/>
    </w:p>
    <w:p w14:paraId="0FF5DF59"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t>1.1. Condiciones mínimas de suministro</w:t>
      </w:r>
    </w:p>
    <w:p w14:paraId="668619EB"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4A0" w:firstRow="1" w:lastRow="0" w:firstColumn="1" w:lastColumn="0" w:noHBand="0" w:noVBand="1"/>
      </w:tblPr>
      <w:tblGrid>
        <w:gridCol w:w="6194"/>
        <w:gridCol w:w="935"/>
        <w:gridCol w:w="1345"/>
        <w:gridCol w:w="1016"/>
      </w:tblGrid>
      <w:tr w:rsidR="00933CBE" w:rsidRPr="00502F97" w14:paraId="481CD144" w14:textId="77777777" w:rsidTr="00933CBE">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419D3C3D" w14:textId="77777777" w:rsidR="00933CBE" w:rsidRPr="00502F97" w:rsidRDefault="00933CBE">
            <w:pPr>
              <w:pStyle w:val="CUERPOTEXTOTABLA"/>
              <w:spacing w:line="256" w:lineRule="auto"/>
              <w:jc w:val="center"/>
              <w:rPr>
                <w:rFonts w:ascii="Century Gothic" w:hAnsi="Century Gothic"/>
                <w:b/>
                <w:sz w:val="20"/>
                <w:szCs w:val="20"/>
              </w:rPr>
            </w:pPr>
            <w:r w:rsidRPr="00502F97">
              <w:rPr>
                <w:rFonts w:ascii="Century Gothic" w:hAnsi="Century Gothic"/>
                <w:b/>
                <w:sz w:val="20"/>
                <w:szCs w:val="20"/>
              </w:rPr>
              <w:t>Condiciones mínimas de suministro a garantizar en cada punto de consumo</w:t>
            </w:r>
          </w:p>
        </w:tc>
      </w:tr>
      <w:tr w:rsidR="00933CBE" w:rsidRPr="00502F97" w14:paraId="07CEA08F" w14:textId="77777777" w:rsidTr="00933CB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4950721"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Tipo de aparato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43F4645" w14:textId="77777777" w:rsidR="00933CBE" w:rsidRPr="00502F97" w:rsidRDefault="00933CBE">
            <w:pPr>
              <w:pStyle w:val="CUERPOTEXTOTABLA"/>
              <w:spacing w:line="256" w:lineRule="auto"/>
              <w:jc w:val="center"/>
              <w:rPr>
                <w:rFonts w:ascii="Century Gothic" w:hAnsi="Century Gothic"/>
                <w:sz w:val="20"/>
                <w:szCs w:val="20"/>
              </w:rPr>
            </w:pPr>
            <w:proofErr w:type="spellStart"/>
            <w:r w:rsidRPr="00502F97">
              <w:rPr>
                <w:rFonts w:ascii="Century Gothic" w:hAnsi="Century Gothic"/>
                <w:sz w:val="20"/>
                <w:szCs w:val="20"/>
              </w:rPr>
              <w:t>Q</w:t>
            </w:r>
            <w:r w:rsidRPr="00502F97">
              <w:rPr>
                <w:rFonts w:ascii="Century Gothic" w:hAnsi="Century Gothic"/>
                <w:sz w:val="20"/>
                <w:szCs w:val="20"/>
                <w:vertAlign w:val="subscript"/>
              </w:rPr>
              <w:t>min</w:t>
            </w:r>
            <w:proofErr w:type="spellEnd"/>
            <w:r w:rsidRPr="00502F97">
              <w:rPr>
                <w:rFonts w:ascii="Century Gothic" w:hAnsi="Century Gothic"/>
                <w:sz w:val="20"/>
                <w:szCs w:val="20"/>
              </w:rPr>
              <w:t xml:space="preserve"> </w:t>
            </w:r>
            <w:proofErr w:type="spellStart"/>
            <w:r w:rsidRPr="00502F97">
              <w:rPr>
                <w:rFonts w:ascii="Century Gothic" w:hAnsi="Century Gothic"/>
                <w:sz w:val="20"/>
                <w:szCs w:val="20"/>
              </w:rPr>
              <w:t>AF</w:t>
            </w:r>
            <w:proofErr w:type="spellEnd"/>
          </w:p>
          <w:p w14:paraId="7A779144"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80CD37D" w14:textId="77777777" w:rsidR="00933CBE" w:rsidRPr="00502F97" w:rsidRDefault="00933CBE">
            <w:pPr>
              <w:pStyle w:val="CUERPOTEXTOTABLA"/>
              <w:spacing w:line="256" w:lineRule="auto"/>
              <w:jc w:val="center"/>
              <w:rPr>
                <w:rFonts w:ascii="Century Gothic" w:hAnsi="Century Gothic"/>
                <w:sz w:val="20"/>
                <w:szCs w:val="20"/>
              </w:rPr>
            </w:pPr>
            <w:proofErr w:type="spellStart"/>
            <w:r w:rsidRPr="00502F97">
              <w:rPr>
                <w:rFonts w:ascii="Century Gothic" w:hAnsi="Century Gothic"/>
                <w:sz w:val="20"/>
                <w:szCs w:val="20"/>
              </w:rPr>
              <w:t>Q</w:t>
            </w:r>
            <w:r w:rsidRPr="00502F97">
              <w:rPr>
                <w:rFonts w:ascii="Century Gothic" w:hAnsi="Century Gothic"/>
                <w:sz w:val="20"/>
                <w:szCs w:val="20"/>
                <w:vertAlign w:val="subscript"/>
              </w:rPr>
              <w:t>min</w:t>
            </w:r>
            <w:proofErr w:type="spellEnd"/>
            <w:r w:rsidRPr="00502F97">
              <w:rPr>
                <w:rFonts w:ascii="Century Gothic" w:hAnsi="Century Gothic"/>
                <w:sz w:val="20"/>
                <w:szCs w:val="20"/>
              </w:rPr>
              <w:t xml:space="preserve"> </w:t>
            </w:r>
            <w:proofErr w:type="spellStart"/>
            <w:r w:rsidRPr="00502F97">
              <w:rPr>
                <w:rFonts w:ascii="Century Gothic" w:hAnsi="Century Gothic"/>
                <w:sz w:val="20"/>
                <w:szCs w:val="20"/>
              </w:rPr>
              <w:t>A.C.S</w:t>
            </w:r>
            <w:proofErr w:type="spellEnd"/>
            <w:r w:rsidRPr="00502F97">
              <w:rPr>
                <w:rFonts w:ascii="Century Gothic" w:hAnsi="Century Gothic"/>
                <w:sz w:val="20"/>
                <w:szCs w:val="20"/>
              </w:rPr>
              <w:t>.</w:t>
            </w:r>
          </w:p>
          <w:p w14:paraId="7F1A50ED"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F9F913B" w14:textId="77777777" w:rsidR="00933CBE" w:rsidRPr="00502F97" w:rsidRDefault="00933CBE">
            <w:pPr>
              <w:pStyle w:val="CUERPOTEXTOTABLA"/>
              <w:spacing w:line="256" w:lineRule="auto"/>
              <w:jc w:val="center"/>
              <w:rPr>
                <w:rFonts w:ascii="Century Gothic" w:hAnsi="Century Gothic"/>
                <w:sz w:val="20"/>
                <w:szCs w:val="20"/>
              </w:rPr>
            </w:pPr>
            <w:proofErr w:type="spellStart"/>
            <w:r w:rsidRPr="00502F97">
              <w:rPr>
                <w:rFonts w:ascii="Century Gothic" w:hAnsi="Century Gothic"/>
                <w:sz w:val="20"/>
                <w:szCs w:val="20"/>
              </w:rPr>
              <w:t>P</w:t>
            </w:r>
            <w:r w:rsidRPr="00502F97">
              <w:rPr>
                <w:rFonts w:ascii="Century Gothic" w:hAnsi="Century Gothic"/>
                <w:sz w:val="20"/>
                <w:szCs w:val="20"/>
                <w:vertAlign w:val="subscript"/>
              </w:rPr>
              <w:t>min</w:t>
            </w:r>
            <w:proofErr w:type="spellEnd"/>
          </w:p>
          <w:p w14:paraId="17934519"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w:t>
            </w:r>
            <w:proofErr w:type="spellStart"/>
            <w:r w:rsidRPr="00502F97">
              <w:rPr>
                <w:rFonts w:ascii="Century Gothic" w:hAnsi="Century Gothic"/>
                <w:sz w:val="20"/>
                <w:szCs w:val="20"/>
              </w:rPr>
              <w:t>m.c.a</w:t>
            </w:r>
            <w:proofErr w:type="spellEnd"/>
            <w:r w:rsidRPr="00502F97">
              <w:rPr>
                <w:rFonts w:ascii="Century Gothic" w:hAnsi="Century Gothic"/>
                <w:sz w:val="20"/>
                <w:szCs w:val="20"/>
              </w:rPr>
              <w:t>.)</w:t>
            </w:r>
          </w:p>
        </w:tc>
      </w:tr>
      <w:tr w:rsidR="00933CBE" w:rsidRPr="00502F97" w14:paraId="6CF1E955" w14:textId="77777777" w:rsidTr="00933CBE">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1CF24493"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Hidromezclador de uso médico</w:t>
            </w:r>
          </w:p>
        </w:tc>
        <w:tc>
          <w:tcPr>
            <w:tcW w:w="0" w:type="auto"/>
            <w:tcBorders>
              <w:top w:val="single" w:sz="2" w:space="0" w:color="000000"/>
              <w:left w:val="single" w:sz="2" w:space="0" w:color="000000"/>
              <w:bottom w:val="nil"/>
              <w:right w:val="single" w:sz="2" w:space="0" w:color="000000"/>
            </w:tcBorders>
            <w:noWrap/>
            <w:vAlign w:val="center"/>
            <w:hideMark/>
          </w:tcPr>
          <w:p w14:paraId="153D7ED7"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0.54</w:t>
            </w:r>
          </w:p>
        </w:tc>
        <w:tc>
          <w:tcPr>
            <w:tcW w:w="0" w:type="auto"/>
            <w:tcBorders>
              <w:top w:val="single" w:sz="2" w:space="0" w:color="000000"/>
              <w:left w:val="single" w:sz="2" w:space="0" w:color="000000"/>
              <w:bottom w:val="nil"/>
              <w:right w:val="single" w:sz="2" w:space="0" w:color="000000"/>
            </w:tcBorders>
            <w:noWrap/>
            <w:vAlign w:val="center"/>
            <w:hideMark/>
          </w:tcPr>
          <w:p w14:paraId="7337C3DC"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0.432</w:t>
            </w:r>
          </w:p>
        </w:tc>
        <w:tc>
          <w:tcPr>
            <w:tcW w:w="0" w:type="auto"/>
            <w:tcBorders>
              <w:top w:val="single" w:sz="2" w:space="0" w:color="000000"/>
              <w:left w:val="single" w:sz="2" w:space="0" w:color="000000"/>
              <w:bottom w:val="nil"/>
              <w:right w:val="single" w:sz="2" w:space="0" w:color="000000"/>
            </w:tcBorders>
            <w:noWrap/>
            <w:vAlign w:val="center"/>
            <w:hideMark/>
          </w:tcPr>
          <w:p w14:paraId="3D61D33F"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10</w:t>
            </w:r>
          </w:p>
        </w:tc>
      </w:tr>
      <w:tr w:rsidR="00933CBE" w:rsidRPr="00502F97" w14:paraId="4724B129" w14:textId="77777777" w:rsidTr="00933CBE">
        <w:trPr>
          <w:cantSplit/>
          <w:jc w:val="center"/>
        </w:trPr>
        <w:tc>
          <w:tcPr>
            <w:tcW w:w="0" w:type="auto"/>
            <w:tcBorders>
              <w:top w:val="nil"/>
              <w:left w:val="single" w:sz="2" w:space="0" w:color="000000"/>
              <w:bottom w:val="nil"/>
              <w:right w:val="single" w:sz="2" w:space="0" w:color="000000"/>
            </w:tcBorders>
            <w:noWrap/>
            <w:vAlign w:val="center"/>
            <w:hideMark/>
          </w:tcPr>
          <w:p w14:paraId="17914CBB"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Lavabo con hidromezclador temporizado</w:t>
            </w:r>
          </w:p>
        </w:tc>
        <w:tc>
          <w:tcPr>
            <w:tcW w:w="0" w:type="auto"/>
            <w:tcBorders>
              <w:top w:val="nil"/>
              <w:left w:val="single" w:sz="2" w:space="0" w:color="000000"/>
              <w:bottom w:val="nil"/>
              <w:right w:val="single" w:sz="2" w:space="0" w:color="000000"/>
            </w:tcBorders>
            <w:noWrap/>
            <w:vAlign w:val="center"/>
            <w:hideMark/>
          </w:tcPr>
          <w:p w14:paraId="3C39564F"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0.90</w:t>
            </w:r>
          </w:p>
        </w:tc>
        <w:tc>
          <w:tcPr>
            <w:tcW w:w="0" w:type="auto"/>
            <w:tcBorders>
              <w:top w:val="nil"/>
              <w:left w:val="single" w:sz="2" w:space="0" w:color="000000"/>
              <w:bottom w:val="nil"/>
              <w:right w:val="single" w:sz="2" w:space="0" w:color="000000"/>
            </w:tcBorders>
            <w:noWrap/>
            <w:vAlign w:val="center"/>
            <w:hideMark/>
          </w:tcPr>
          <w:p w14:paraId="7EB0ED43"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0.720</w:t>
            </w:r>
          </w:p>
        </w:tc>
        <w:tc>
          <w:tcPr>
            <w:tcW w:w="0" w:type="auto"/>
            <w:tcBorders>
              <w:top w:val="nil"/>
              <w:left w:val="single" w:sz="2" w:space="0" w:color="000000"/>
              <w:bottom w:val="nil"/>
              <w:right w:val="single" w:sz="2" w:space="0" w:color="000000"/>
            </w:tcBorders>
            <w:noWrap/>
            <w:vAlign w:val="center"/>
            <w:hideMark/>
          </w:tcPr>
          <w:p w14:paraId="648B1800"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15</w:t>
            </w:r>
          </w:p>
        </w:tc>
      </w:tr>
      <w:tr w:rsidR="00933CBE" w:rsidRPr="00502F97" w14:paraId="036C1C05" w14:textId="77777777" w:rsidTr="00933CBE">
        <w:trPr>
          <w:cantSplit/>
          <w:jc w:val="center"/>
        </w:trPr>
        <w:tc>
          <w:tcPr>
            <w:tcW w:w="0" w:type="auto"/>
            <w:tcBorders>
              <w:top w:val="nil"/>
              <w:left w:val="single" w:sz="2" w:space="0" w:color="000000"/>
              <w:bottom w:val="nil"/>
              <w:right w:val="single" w:sz="2" w:space="0" w:color="000000"/>
            </w:tcBorders>
            <w:noWrap/>
            <w:vAlign w:val="center"/>
            <w:hideMark/>
          </w:tcPr>
          <w:p w14:paraId="65AD40B8"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Inodoro con cisterna</w:t>
            </w:r>
          </w:p>
        </w:tc>
        <w:tc>
          <w:tcPr>
            <w:tcW w:w="0" w:type="auto"/>
            <w:tcBorders>
              <w:top w:val="nil"/>
              <w:left w:val="single" w:sz="2" w:space="0" w:color="000000"/>
              <w:bottom w:val="nil"/>
              <w:right w:val="single" w:sz="2" w:space="0" w:color="000000"/>
            </w:tcBorders>
            <w:noWrap/>
            <w:vAlign w:val="center"/>
            <w:hideMark/>
          </w:tcPr>
          <w:p w14:paraId="4298AFFB"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0.36</w:t>
            </w:r>
          </w:p>
        </w:tc>
        <w:tc>
          <w:tcPr>
            <w:tcW w:w="0" w:type="auto"/>
            <w:tcBorders>
              <w:top w:val="nil"/>
              <w:left w:val="single" w:sz="2" w:space="0" w:color="000000"/>
              <w:bottom w:val="nil"/>
              <w:right w:val="single" w:sz="2" w:space="0" w:color="000000"/>
            </w:tcBorders>
            <w:noWrap/>
            <w:vAlign w:val="center"/>
            <w:hideMark/>
          </w:tcPr>
          <w:p w14:paraId="76A4018D"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w:t>
            </w:r>
          </w:p>
        </w:tc>
        <w:tc>
          <w:tcPr>
            <w:tcW w:w="0" w:type="auto"/>
            <w:tcBorders>
              <w:top w:val="nil"/>
              <w:left w:val="single" w:sz="2" w:space="0" w:color="000000"/>
              <w:bottom w:val="nil"/>
              <w:right w:val="single" w:sz="2" w:space="0" w:color="000000"/>
            </w:tcBorders>
            <w:noWrap/>
            <w:vAlign w:val="center"/>
            <w:hideMark/>
          </w:tcPr>
          <w:p w14:paraId="0CDC8878"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10</w:t>
            </w:r>
          </w:p>
        </w:tc>
      </w:tr>
      <w:tr w:rsidR="00933CBE" w:rsidRPr="00502F97" w14:paraId="53F7C87E" w14:textId="77777777" w:rsidTr="00933CBE">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657B96AC"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Ducha con rociador hidromezclador antivandálico</w:t>
            </w:r>
          </w:p>
        </w:tc>
        <w:tc>
          <w:tcPr>
            <w:tcW w:w="0" w:type="auto"/>
            <w:tcBorders>
              <w:top w:val="nil"/>
              <w:left w:val="single" w:sz="2" w:space="0" w:color="000000"/>
              <w:bottom w:val="single" w:sz="2" w:space="0" w:color="000000"/>
              <w:right w:val="single" w:sz="2" w:space="0" w:color="000000"/>
            </w:tcBorders>
            <w:noWrap/>
            <w:vAlign w:val="center"/>
            <w:hideMark/>
          </w:tcPr>
          <w:p w14:paraId="515040CA"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0.54</w:t>
            </w:r>
          </w:p>
        </w:tc>
        <w:tc>
          <w:tcPr>
            <w:tcW w:w="0" w:type="auto"/>
            <w:tcBorders>
              <w:top w:val="nil"/>
              <w:left w:val="single" w:sz="2" w:space="0" w:color="000000"/>
              <w:bottom w:val="single" w:sz="2" w:space="0" w:color="000000"/>
              <w:right w:val="single" w:sz="2" w:space="0" w:color="000000"/>
            </w:tcBorders>
            <w:noWrap/>
            <w:vAlign w:val="center"/>
            <w:hideMark/>
          </w:tcPr>
          <w:p w14:paraId="0ED26C56"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0.432</w:t>
            </w:r>
          </w:p>
        </w:tc>
        <w:tc>
          <w:tcPr>
            <w:tcW w:w="0" w:type="auto"/>
            <w:tcBorders>
              <w:top w:val="nil"/>
              <w:left w:val="single" w:sz="2" w:space="0" w:color="000000"/>
              <w:bottom w:val="single" w:sz="2" w:space="0" w:color="000000"/>
              <w:right w:val="single" w:sz="2" w:space="0" w:color="000000"/>
            </w:tcBorders>
            <w:noWrap/>
            <w:vAlign w:val="center"/>
            <w:hideMark/>
          </w:tcPr>
          <w:p w14:paraId="3992E8BF"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10</w:t>
            </w:r>
          </w:p>
        </w:tc>
      </w:tr>
      <w:tr w:rsidR="00933CBE" w:rsidRPr="00502F97" w14:paraId="0AA8A138" w14:textId="77777777" w:rsidTr="00933CBE">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hideMark/>
          </w:tcPr>
          <w:tbl>
            <w:tblPr>
              <w:tblW w:w="5000" w:type="pct"/>
              <w:jc w:val="center"/>
              <w:tblCellMar>
                <w:top w:w="28" w:type="dxa"/>
                <w:left w:w="28" w:type="dxa"/>
                <w:bottom w:w="28" w:type="dxa"/>
                <w:right w:w="28" w:type="dxa"/>
              </w:tblCellMar>
              <w:tblLook w:val="04A0" w:firstRow="1" w:lastRow="0" w:firstColumn="1" w:lastColumn="0" w:noHBand="0" w:noVBand="1"/>
            </w:tblPr>
            <w:tblGrid>
              <w:gridCol w:w="1091"/>
              <w:gridCol w:w="3990"/>
              <w:gridCol w:w="402"/>
              <w:gridCol w:w="3990"/>
            </w:tblGrid>
            <w:tr w:rsidR="00933CBE" w:rsidRPr="00502F97" w14:paraId="41F734CF" w14:textId="77777777">
              <w:trPr>
                <w:tblHeader/>
                <w:jc w:val="center"/>
              </w:trPr>
              <w:tc>
                <w:tcPr>
                  <w:tcW w:w="0" w:type="auto"/>
                  <w:gridSpan w:val="4"/>
                  <w:tcBorders>
                    <w:top w:val="nil"/>
                    <w:left w:val="nil"/>
                    <w:bottom w:val="single" w:sz="2" w:space="0" w:color="000000"/>
                    <w:right w:val="nil"/>
                  </w:tcBorders>
                  <w:noWrap/>
                  <w:vAlign w:val="center"/>
                  <w:hideMark/>
                </w:tcPr>
                <w:p w14:paraId="63D37332"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 xml:space="preserve"> </w:t>
                  </w:r>
                </w:p>
              </w:tc>
            </w:tr>
            <w:tr w:rsidR="00933CBE" w:rsidRPr="00502F97" w14:paraId="1388FFD8" w14:textId="77777777">
              <w:trPr>
                <w:tblHeader/>
                <w:jc w:val="center"/>
              </w:trPr>
              <w:tc>
                <w:tcPr>
                  <w:tcW w:w="0" w:type="auto"/>
                  <w:gridSpan w:val="4"/>
                  <w:tcBorders>
                    <w:top w:val="single" w:sz="2" w:space="0" w:color="000000"/>
                    <w:left w:val="nil"/>
                    <w:bottom w:val="single" w:sz="2" w:space="0" w:color="000000"/>
                    <w:right w:val="nil"/>
                  </w:tcBorders>
                  <w:shd w:val="clear" w:color="auto" w:fill="F2F1F0"/>
                  <w:noWrap/>
                  <w:vAlign w:val="center"/>
                  <w:hideMark/>
                </w:tcPr>
                <w:p w14:paraId="43B1B567"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Abreviaturas utilizadas</w:t>
                  </w:r>
                </w:p>
              </w:tc>
            </w:tr>
            <w:tr w:rsidR="00933CBE" w:rsidRPr="00502F97" w14:paraId="0218981D" w14:textId="77777777">
              <w:trPr>
                <w:cantSplit/>
                <w:jc w:val="center"/>
              </w:trPr>
              <w:tc>
                <w:tcPr>
                  <w:tcW w:w="0" w:type="auto"/>
                  <w:tcBorders>
                    <w:top w:val="single" w:sz="2" w:space="0" w:color="000000"/>
                    <w:left w:val="nil"/>
                    <w:bottom w:val="nil"/>
                    <w:right w:val="single" w:sz="2" w:space="0" w:color="000000"/>
                  </w:tcBorders>
                  <w:noWrap/>
                  <w:vAlign w:val="center"/>
                  <w:hideMark/>
                </w:tcPr>
                <w:p w14:paraId="09CBC9A1" w14:textId="77777777" w:rsidR="00933CBE" w:rsidRPr="00502F97" w:rsidRDefault="00933CBE">
                  <w:pPr>
                    <w:pStyle w:val="CUERPOTEXTOTABLA"/>
                    <w:spacing w:line="256" w:lineRule="auto"/>
                    <w:rPr>
                      <w:rFonts w:ascii="Century Gothic" w:hAnsi="Century Gothic"/>
                      <w:sz w:val="20"/>
                      <w:szCs w:val="20"/>
                    </w:rPr>
                  </w:pPr>
                  <w:proofErr w:type="spellStart"/>
                  <w:r w:rsidRPr="00502F97">
                    <w:rPr>
                      <w:rFonts w:ascii="Century Gothic" w:hAnsi="Century Gothic"/>
                      <w:sz w:val="20"/>
                      <w:szCs w:val="20"/>
                    </w:rPr>
                    <w:t>Q</w:t>
                  </w:r>
                  <w:r w:rsidRPr="00502F97">
                    <w:rPr>
                      <w:rFonts w:ascii="Century Gothic" w:hAnsi="Century Gothic"/>
                      <w:sz w:val="20"/>
                      <w:szCs w:val="20"/>
                      <w:vertAlign w:val="subscript"/>
                    </w:rPr>
                    <w:t>min</w:t>
                  </w:r>
                  <w:proofErr w:type="spellEnd"/>
                  <w:r w:rsidRPr="00502F97">
                    <w:rPr>
                      <w:rFonts w:ascii="Century Gothic" w:hAnsi="Century Gothic"/>
                      <w:sz w:val="20"/>
                      <w:szCs w:val="20"/>
                    </w:rPr>
                    <w:t xml:space="preserve"> </w:t>
                  </w:r>
                  <w:proofErr w:type="spellStart"/>
                  <w:r w:rsidRPr="00502F97">
                    <w:rPr>
                      <w:rFonts w:ascii="Century Gothic" w:hAnsi="Century Gothic"/>
                      <w:sz w:val="20"/>
                      <w:szCs w:val="20"/>
                    </w:rPr>
                    <w:t>AF</w:t>
                  </w:r>
                  <w:proofErr w:type="spellEnd"/>
                </w:p>
              </w:tc>
              <w:tc>
                <w:tcPr>
                  <w:tcW w:w="2500" w:type="pct"/>
                  <w:tcBorders>
                    <w:top w:val="single" w:sz="2" w:space="0" w:color="000000"/>
                    <w:left w:val="single" w:sz="2" w:space="0" w:color="000000"/>
                    <w:bottom w:val="nil"/>
                    <w:right w:val="single" w:sz="2" w:space="0" w:color="000000"/>
                  </w:tcBorders>
                  <w:vAlign w:val="center"/>
                  <w:hideMark/>
                </w:tcPr>
                <w:p w14:paraId="6A02D5E4" w14:textId="77777777" w:rsidR="00933CBE" w:rsidRPr="00502F97" w:rsidRDefault="00933CBE">
                  <w:pPr>
                    <w:pStyle w:val="CUERPOTEXTOTABLA"/>
                    <w:spacing w:line="256" w:lineRule="auto"/>
                    <w:rPr>
                      <w:rFonts w:ascii="Century Gothic" w:hAnsi="Century Gothic"/>
                      <w:i/>
                      <w:sz w:val="20"/>
                      <w:szCs w:val="20"/>
                    </w:rPr>
                  </w:pPr>
                  <w:r w:rsidRPr="00502F97">
                    <w:rPr>
                      <w:rFonts w:ascii="Century Gothic" w:hAnsi="Century Gothic"/>
                      <w:i/>
                      <w:sz w:val="20"/>
                      <w:szCs w:val="20"/>
                    </w:rPr>
                    <w:t>Caudal instantáneo mínimo de agua fría</w:t>
                  </w:r>
                </w:p>
              </w:tc>
              <w:tc>
                <w:tcPr>
                  <w:tcW w:w="0" w:type="auto"/>
                  <w:tcBorders>
                    <w:top w:val="single" w:sz="2" w:space="0" w:color="000000"/>
                    <w:left w:val="single" w:sz="2" w:space="0" w:color="000000"/>
                    <w:bottom w:val="nil"/>
                    <w:right w:val="single" w:sz="2" w:space="0" w:color="000000"/>
                  </w:tcBorders>
                  <w:noWrap/>
                  <w:vAlign w:val="center"/>
                  <w:hideMark/>
                </w:tcPr>
                <w:p w14:paraId="09D472B5" w14:textId="77777777" w:rsidR="00933CBE" w:rsidRPr="00502F97" w:rsidRDefault="00933CBE">
                  <w:pPr>
                    <w:pStyle w:val="CUERPOTEXTOTABLA"/>
                    <w:spacing w:line="256" w:lineRule="auto"/>
                    <w:rPr>
                      <w:rFonts w:ascii="Century Gothic" w:hAnsi="Century Gothic"/>
                      <w:sz w:val="20"/>
                      <w:szCs w:val="20"/>
                    </w:rPr>
                  </w:pPr>
                  <w:proofErr w:type="spellStart"/>
                  <w:r w:rsidRPr="00502F97">
                    <w:rPr>
                      <w:rFonts w:ascii="Century Gothic" w:hAnsi="Century Gothic"/>
                      <w:sz w:val="20"/>
                      <w:szCs w:val="20"/>
                    </w:rPr>
                    <w:t>P</w:t>
                  </w:r>
                  <w:r w:rsidRPr="00502F97">
                    <w:rPr>
                      <w:rFonts w:ascii="Century Gothic" w:hAnsi="Century Gothic"/>
                      <w:sz w:val="20"/>
                      <w:szCs w:val="20"/>
                      <w:vertAlign w:val="subscript"/>
                    </w:rPr>
                    <w:t>min</w:t>
                  </w:r>
                  <w:proofErr w:type="spellEnd"/>
                </w:p>
              </w:tc>
              <w:tc>
                <w:tcPr>
                  <w:tcW w:w="2500" w:type="pct"/>
                  <w:tcBorders>
                    <w:top w:val="single" w:sz="2" w:space="0" w:color="000000"/>
                    <w:left w:val="single" w:sz="2" w:space="0" w:color="000000"/>
                    <w:bottom w:val="nil"/>
                    <w:right w:val="nil"/>
                  </w:tcBorders>
                  <w:vAlign w:val="center"/>
                  <w:hideMark/>
                </w:tcPr>
                <w:p w14:paraId="36414C4B" w14:textId="77777777" w:rsidR="00933CBE" w:rsidRPr="00502F97" w:rsidRDefault="00933CBE">
                  <w:pPr>
                    <w:pStyle w:val="CUERPOTEXTOTABLA"/>
                    <w:spacing w:line="256" w:lineRule="auto"/>
                    <w:rPr>
                      <w:rFonts w:ascii="Century Gothic" w:hAnsi="Century Gothic"/>
                      <w:i/>
                      <w:sz w:val="20"/>
                      <w:szCs w:val="20"/>
                    </w:rPr>
                  </w:pPr>
                  <w:r w:rsidRPr="00502F97">
                    <w:rPr>
                      <w:rFonts w:ascii="Century Gothic" w:hAnsi="Century Gothic"/>
                      <w:i/>
                      <w:sz w:val="20"/>
                      <w:szCs w:val="20"/>
                    </w:rPr>
                    <w:t>Presión mínima</w:t>
                  </w:r>
                </w:p>
              </w:tc>
            </w:tr>
            <w:tr w:rsidR="00933CBE" w:rsidRPr="00502F97" w14:paraId="218C5D3D" w14:textId="77777777">
              <w:trPr>
                <w:cantSplit/>
                <w:jc w:val="center"/>
              </w:trPr>
              <w:tc>
                <w:tcPr>
                  <w:tcW w:w="0" w:type="auto"/>
                  <w:tcBorders>
                    <w:top w:val="nil"/>
                    <w:left w:val="nil"/>
                    <w:bottom w:val="nil"/>
                    <w:right w:val="single" w:sz="2" w:space="0" w:color="000000"/>
                  </w:tcBorders>
                  <w:noWrap/>
                  <w:vAlign w:val="center"/>
                  <w:hideMark/>
                </w:tcPr>
                <w:p w14:paraId="0490533A" w14:textId="77777777" w:rsidR="00933CBE" w:rsidRPr="00502F97" w:rsidRDefault="00933CBE">
                  <w:pPr>
                    <w:pStyle w:val="CUERPOTEXTOTABLA"/>
                    <w:spacing w:line="256" w:lineRule="auto"/>
                    <w:rPr>
                      <w:rFonts w:ascii="Century Gothic" w:hAnsi="Century Gothic"/>
                      <w:sz w:val="20"/>
                      <w:szCs w:val="20"/>
                    </w:rPr>
                  </w:pPr>
                  <w:proofErr w:type="spellStart"/>
                  <w:r w:rsidRPr="00502F97">
                    <w:rPr>
                      <w:rFonts w:ascii="Century Gothic" w:hAnsi="Century Gothic"/>
                      <w:sz w:val="20"/>
                      <w:szCs w:val="20"/>
                    </w:rPr>
                    <w:t>Q</w:t>
                  </w:r>
                  <w:r w:rsidRPr="00502F97">
                    <w:rPr>
                      <w:rFonts w:ascii="Century Gothic" w:hAnsi="Century Gothic"/>
                      <w:sz w:val="20"/>
                      <w:szCs w:val="20"/>
                      <w:vertAlign w:val="subscript"/>
                    </w:rPr>
                    <w:t>min</w:t>
                  </w:r>
                  <w:proofErr w:type="spellEnd"/>
                  <w:r w:rsidRPr="00502F97">
                    <w:rPr>
                      <w:rFonts w:ascii="Century Gothic" w:hAnsi="Century Gothic"/>
                      <w:sz w:val="20"/>
                      <w:szCs w:val="20"/>
                    </w:rPr>
                    <w:t xml:space="preserve"> </w:t>
                  </w:r>
                  <w:proofErr w:type="spellStart"/>
                  <w:r w:rsidRPr="00502F97">
                    <w:rPr>
                      <w:rFonts w:ascii="Century Gothic" w:hAnsi="Century Gothic"/>
                      <w:sz w:val="20"/>
                      <w:szCs w:val="20"/>
                    </w:rPr>
                    <w:t>A.C.S</w:t>
                  </w:r>
                  <w:proofErr w:type="spellEnd"/>
                  <w:r w:rsidRPr="00502F97">
                    <w:rPr>
                      <w:rFonts w:ascii="Century Gothic" w:hAnsi="Century Gothic"/>
                      <w:sz w:val="20"/>
                      <w:szCs w:val="20"/>
                    </w:rPr>
                    <w:t>.</w:t>
                  </w:r>
                </w:p>
              </w:tc>
              <w:tc>
                <w:tcPr>
                  <w:tcW w:w="0" w:type="auto"/>
                  <w:tcBorders>
                    <w:top w:val="nil"/>
                    <w:left w:val="single" w:sz="2" w:space="0" w:color="000000"/>
                    <w:bottom w:val="nil"/>
                    <w:right w:val="single" w:sz="2" w:space="0" w:color="000000"/>
                  </w:tcBorders>
                  <w:vAlign w:val="center"/>
                  <w:hideMark/>
                </w:tcPr>
                <w:p w14:paraId="2FD57E83" w14:textId="77777777" w:rsidR="00933CBE" w:rsidRPr="00502F97" w:rsidRDefault="00933CBE">
                  <w:pPr>
                    <w:pStyle w:val="CUERPOTEXTOTABLA"/>
                    <w:spacing w:line="256" w:lineRule="auto"/>
                    <w:rPr>
                      <w:rFonts w:ascii="Century Gothic" w:hAnsi="Century Gothic"/>
                      <w:i/>
                      <w:sz w:val="20"/>
                      <w:szCs w:val="20"/>
                    </w:rPr>
                  </w:pPr>
                  <w:r w:rsidRPr="00502F97">
                    <w:rPr>
                      <w:rFonts w:ascii="Century Gothic" w:hAnsi="Century Gothic"/>
                      <w:i/>
                      <w:sz w:val="20"/>
                      <w:szCs w:val="20"/>
                    </w:rPr>
                    <w:t>Caudal instantáneo mínimo de A.C.S.</w:t>
                  </w:r>
                </w:p>
              </w:tc>
              <w:tc>
                <w:tcPr>
                  <w:tcW w:w="0" w:type="auto"/>
                  <w:tcBorders>
                    <w:top w:val="nil"/>
                    <w:left w:val="single" w:sz="2" w:space="0" w:color="000000"/>
                    <w:bottom w:val="nil"/>
                    <w:right w:val="single" w:sz="2" w:space="0" w:color="000000"/>
                  </w:tcBorders>
                  <w:tcMar>
                    <w:top w:w="17" w:type="dxa"/>
                    <w:left w:w="6" w:type="dxa"/>
                    <w:bottom w:w="23" w:type="dxa"/>
                    <w:right w:w="11" w:type="dxa"/>
                  </w:tcMar>
                  <w:vAlign w:val="center"/>
                  <w:hideMark/>
                </w:tcPr>
                <w:p w14:paraId="2C633907" w14:textId="77777777" w:rsidR="00933CBE" w:rsidRPr="00502F97" w:rsidRDefault="00933CBE">
                  <w:pPr>
                    <w:spacing w:after="0" w:line="240" w:lineRule="auto"/>
                    <w:rPr>
                      <w:rFonts w:ascii="Century Gothic" w:hAnsi="Century Gothic" w:cs="Arial"/>
                      <w:sz w:val="20"/>
                      <w:szCs w:val="20"/>
                    </w:rPr>
                  </w:pPr>
                  <w:r w:rsidRPr="00502F97">
                    <w:rPr>
                      <w:rFonts w:ascii="Century Gothic" w:hAnsi="Century Gothic" w:cs="Arial"/>
                      <w:sz w:val="20"/>
                      <w:szCs w:val="20"/>
                    </w:rPr>
                    <w:t xml:space="preserve"> </w:t>
                  </w:r>
                </w:p>
              </w:tc>
              <w:tc>
                <w:tcPr>
                  <w:tcW w:w="0" w:type="auto"/>
                  <w:tcBorders>
                    <w:top w:val="nil"/>
                    <w:left w:val="single" w:sz="2" w:space="0" w:color="000000"/>
                    <w:bottom w:val="nil"/>
                    <w:right w:val="nil"/>
                  </w:tcBorders>
                  <w:tcMar>
                    <w:top w:w="17" w:type="dxa"/>
                    <w:left w:w="6" w:type="dxa"/>
                    <w:bottom w:w="23" w:type="dxa"/>
                    <w:right w:w="11" w:type="dxa"/>
                  </w:tcMar>
                  <w:vAlign w:val="center"/>
                  <w:hideMark/>
                </w:tcPr>
                <w:p w14:paraId="758F9D24" w14:textId="77777777" w:rsidR="00933CBE" w:rsidRPr="00502F97" w:rsidRDefault="00933CBE">
                  <w:pPr>
                    <w:spacing w:after="0" w:line="240" w:lineRule="auto"/>
                    <w:rPr>
                      <w:rFonts w:ascii="Century Gothic" w:hAnsi="Century Gothic" w:cs="Arial"/>
                      <w:sz w:val="20"/>
                      <w:szCs w:val="20"/>
                    </w:rPr>
                  </w:pPr>
                  <w:r w:rsidRPr="00502F97">
                    <w:rPr>
                      <w:rFonts w:ascii="Century Gothic" w:hAnsi="Century Gothic" w:cs="Arial"/>
                      <w:sz w:val="20"/>
                      <w:szCs w:val="20"/>
                    </w:rPr>
                    <w:t xml:space="preserve"> </w:t>
                  </w:r>
                </w:p>
              </w:tc>
            </w:tr>
          </w:tbl>
          <w:p w14:paraId="20E19F4A" w14:textId="77777777" w:rsidR="00933CBE" w:rsidRPr="00502F97" w:rsidRDefault="00933CBE">
            <w:pPr>
              <w:spacing w:after="0" w:line="0" w:lineRule="auto"/>
              <w:rPr>
                <w:rFonts w:ascii="Century Gothic" w:hAnsi="Century Gothic"/>
                <w:sz w:val="20"/>
                <w:szCs w:val="20"/>
              </w:rPr>
            </w:pPr>
          </w:p>
        </w:tc>
      </w:tr>
    </w:tbl>
    <w:p w14:paraId="023D91D4" w14:textId="77777777" w:rsidR="00933CBE" w:rsidRPr="00502F97" w:rsidRDefault="00933CBE" w:rsidP="00933CBE">
      <w:pPr>
        <w:spacing w:after="0" w:line="0" w:lineRule="auto"/>
        <w:rPr>
          <w:rFonts w:ascii="Century Gothic" w:hAnsi="Century Gothic"/>
          <w:sz w:val="20"/>
          <w:szCs w:val="20"/>
        </w:rPr>
      </w:pPr>
    </w:p>
    <w:p w14:paraId="0F101323"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76BAE421"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 xml:space="preserve">La presión en cualquier punto de consumo no es superior a 50 </w:t>
      </w:r>
      <w:proofErr w:type="spellStart"/>
      <w:r w:rsidRPr="00502F97">
        <w:rPr>
          <w:rFonts w:ascii="Century Gothic" w:hAnsi="Century Gothic"/>
          <w:sz w:val="20"/>
          <w:szCs w:val="20"/>
        </w:rPr>
        <w:t>m.c.a</w:t>
      </w:r>
      <w:proofErr w:type="spellEnd"/>
      <w:r w:rsidRPr="00502F97">
        <w:rPr>
          <w:rFonts w:ascii="Century Gothic" w:hAnsi="Century Gothic"/>
          <w:sz w:val="20"/>
          <w:szCs w:val="20"/>
        </w:rPr>
        <w:t>.</w:t>
      </w:r>
    </w:p>
    <w:p w14:paraId="7ACEC297"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La temperatura de A.C.S. en los puntos de consumo debe estar comprendida entre 50°C y 65°C. excepto en las instalaciones ubicadas en edificios dedicados a uso exclusivo de vivienda siempre que éstas no afecten al ambiente exterior de dichos edificios.</w:t>
      </w:r>
    </w:p>
    <w:p w14:paraId="690C1DC1" w14:textId="77777777" w:rsidR="00933CBE" w:rsidRPr="00502F97" w:rsidRDefault="00933CBE" w:rsidP="00933CBE">
      <w:pPr>
        <w:spacing w:after="0" w:line="0" w:lineRule="auto"/>
        <w:rPr>
          <w:rFonts w:ascii="Century Gothic" w:hAnsi="Century Gothic"/>
          <w:sz w:val="20"/>
          <w:szCs w:val="20"/>
        </w:rPr>
      </w:pPr>
      <w:bookmarkStart w:id="3" w:name="PROJ:1_anexo:1:1:_RC_:1:2"/>
      <w:bookmarkEnd w:id="3"/>
    </w:p>
    <w:p w14:paraId="10DE5B8B"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t>1.2. Tramos</w:t>
      </w:r>
    </w:p>
    <w:p w14:paraId="3D6AA296"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El cálculo se ha realizado con un primer dimensionado seleccionando el tramo más desfavorable de la misma y obteniéndose unos diámetros previos que posteriormente se han comprobado en función de la pérdida de carga obtenida con los mismos, a partir de la siguiente formulación:</w:t>
      </w:r>
    </w:p>
    <w:p w14:paraId="3EEC2C15"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0564086F" w14:textId="77777777" w:rsidR="00933CBE" w:rsidRPr="00502F97" w:rsidRDefault="00933CBE" w:rsidP="00933CBE">
      <w:pPr>
        <w:pStyle w:val="CUERPOTEXTO"/>
        <w:keepNext/>
        <w:ind w:left="283"/>
        <w:rPr>
          <w:rFonts w:ascii="Century Gothic" w:hAnsi="Century Gothic"/>
          <w:b/>
          <w:sz w:val="20"/>
          <w:szCs w:val="20"/>
        </w:rPr>
      </w:pPr>
      <w:r w:rsidRPr="00502F97">
        <w:rPr>
          <w:rFonts w:ascii="Century Gothic" w:hAnsi="Century Gothic"/>
          <w:b/>
          <w:sz w:val="20"/>
          <w:szCs w:val="20"/>
        </w:rPr>
        <w:t>Factor de fricción</w:t>
      </w:r>
    </w:p>
    <w:p w14:paraId="5E1A252D" w14:textId="1E972AFA" w:rsidR="00933CBE" w:rsidRPr="00502F97" w:rsidRDefault="00933CBE" w:rsidP="00502F97">
      <w:pPr>
        <w:pStyle w:val="CUERPOTEXTO"/>
        <w:spacing w:after="0"/>
        <w:ind w:left="283"/>
        <w:jc w:val="center"/>
        <w:rPr>
          <w:rFonts w:ascii="Century Gothic" w:hAnsi="Century Gothic"/>
          <w:sz w:val="20"/>
          <w:szCs w:val="20"/>
        </w:rPr>
      </w:pPr>
      <w:r w:rsidRPr="00502F97">
        <w:rPr>
          <w:rFonts w:ascii="Century Gothic" w:hAnsi="Century Gothic"/>
          <w:noProof/>
          <w:sz w:val="20"/>
          <w:szCs w:val="20"/>
        </w:rPr>
        <w:drawing>
          <wp:inline distT="0" distB="0" distL="0" distR="0" wp14:anchorId="273A7050" wp14:editId="70F33A7B">
            <wp:extent cx="2057400" cy="5143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7400" cy="514350"/>
                    </a:xfrm>
                    <a:prstGeom prst="rect">
                      <a:avLst/>
                    </a:prstGeom>
                    <a:noFill/>
                    <a:ln>
                      <a:noFill/>
                    </a:ln>
                  </pic:spPr>
                </pic:pic>
              </a:graphicData>
            </a:graphic>
          </wp:inline>
        </w:drawing>
      </w:r>
    </w:p>
    <w:p w14:paraId="2C111806" w14:textId="77777777" w:rsidR="00933CBE" w:rsidRPr="00502F97" w:rsidRDefault="00933CBE" w:rsidP="00933CBE">
      <w:pPr>
        <w:pStyle w:val="CUERPOTEXTO"/>
        <w:keepNext/>
        <w:spacing w:after="0"/>
        <w:ind w:left="283"/>
        <w:rPr>
          <w:rFonts w:ascii="Century Gothic" w:hAnsi="Century Gothic"/>
          <w:sz w:val="20"/>
          <w:szCs w:val="20"/>
        </w:rPr>
      </w:pPr>
      <w:r w:rsidRPr="00502F97">
        <w:rPr>
          <w:rFonts w:ascii="Century Gothic" w:hAnsi="Century Gothic"/>
          <w:sz w:val="20"/>
          <w:szCs w:val="20"/>
        </w:rPr>
        <w:t>siendo:</w:t>
      </w:r>
    </w:p>
    <w:p w14:paraId="26D36E81"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184319EA" w14:textId="77777777" w:rsidR="00933CBE" w:rsidRPr="00502F97" w:rsidRDefault="00933CBE" w:rsidP="00933CBE">
      <w:pPr>
        <w:pStyle w:val="CUERPOTEXTO"/>
        <w:ind w:left="567"/>
        <w:rPr>
          <w:rFonts w:ascii="Century Gothic" w:hAnsi="Century Gothic"/>
          <w:sz w:val="20"/>
          <w:szCs w:val="20"/>
        </w:rPr>
      </w:pPr>
      <w:proofErr w:type="spellStart"/>
      <w:r w:rsidRPr="00502F97">
        <w:rPr>
          <w:rFonts w:ascii="Century Gothic" w:hAnsi="Century Gothic" w:cs="Symbol"/>
          <w:sz w:val="20"/>
          <w:szCs w:val="20"/>
        </w:rPr>
        <w:t>e</w:t>
      </w:r>
      <w:proofErr w:type="spellEnd"/>
      <w:r w:rsidRPr="00502F97">
        <w:rPr>
          <w:rFonts w:ascii="Century Gothic" w:hAnsi="Century Gothic"/>
          <w:sz w:val="20"/>
          <w:szCs w:val="20"/>
        </w:rPr>
        <w:t>: Rugosidad absoluta</w:t>
      </w:r>
    </w:p>
    <w:p w14:paraId="6145F1AF" w14:textId="77777777" w:rsidR="00933CBE" w:rsidRPr="00502F97" w:rsidRDefault="00933CBE" w:rsidP="00933CBE">
      <w:pPr>
        <w:pStyle w:val="CUERPOTEXTO"/>
        <w:ind w:left="567"/>
        <w:rPr>
          <w:rFonts w:ascii="Century Gothic" w:hAnsi="Century Gothic"/>
          <w:sz w:val="20"/>
          <w:szCs w:val="20"/>
        </w:rPr>
      </w:pPr>
      <w:r w:rsidRPr="00502F97">
        <w:rPr>
          <w:rFonts w:ascii="Century Gothic" w:hAnsi="Century Gothic"/>
          <w:sz w:val="20"/>
          <w:szCs w:val="20"/>
        </w:rPr>
        <w:t>D: Diámetro [mm]</w:t>
      </w:r>
    </w:p>
    <w:p w14:paraId="5355B1F2" w14:textId="77777777" w:rsidR="00933CBE" w:rsidRPr="00502F97" w:rsidRDefault="00933CBE" w:rsidP="00933CBE">
      <w:pPr>
        <w:pStyle w:val="CUERPOTEXTO"/>
        <w:ind w:left="567"/>
        <w:rPr>
          <w:rFonts w:ascii="Century Gothic" w:hAnsi="Century Gothic"/>
          <w:sz w:val="20"/>
          <w:szCs w:val="20"/>
        </w:rPr>
      </w:pPr>
      <w:r w:rsidRPr="00502F97">
        <w:rPr>
          <w:rFonts w:ascii="Century Gothic" w:hAnsi="Century Gothic"/>
          <w:sz w:val="20"/>
          <w:szCs w:val="20"/>
        </w:rPr>
        <w:t>Re: Número de Reynolds</w:t>
      </w:r>
    </w:p>
    <w:p w14:paraId="08F08C85" w14:textId="64C0AB73"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0F4B7D1F" w14:textId="77777777" w:rsidR="00933CBE" w:rsidRPr="00502F97" w:rsidRDefault="00933CBE" w:rsidP="00933CBE">
      <w:pPr>
        <w:pStyle w:val="CUERPOTEXTO"/>
        <w:keepNext/>
        <w:ind w:left="283"/>
        <w:rPr>
          <w:rFonts w:ascii="Century Gothic" w:hAnsi="Century Gothic"/>
          <w:b/>
          <w:sz w:val="20"/>
          <w:szCs w:val="20"/>
        </w:rPr>
      </w:pPr>
      <w:r w:rsidRPr="00502F97">
        <w:rPr>
          <w:rFonts w:ascii="Century Gothic" w:hAnsi="Century Gothic"/>
          <w:b/>
          <w:sz w:val="20"/>
          <w:szCs w:val="20"/>
        </w:rPr>
        <w:t>Pérdidas de carga</w:t>
      </w:r>
    </w:p>
    <w:p w14:paraId="04F47740" w14:textId="3B0E7635" w:rsidR="00933CBE" w:rsidRPr="00502F97" w:rsidRDefault="00933CBE" w:rsidP="003500C6">
      <w:pPr>
        <w:pStyle w:val="CUERPOTEXTO"/>
        <w:spacing w:after="0"/>
        <w:ind w:left="283"/>
        <w:jc w:val="center"/>
        <w:rPr>
          <w:rFonts w:ascii="Century Gothic" w:hAnsi="Century Gothic"/>
          <w:sz w:val="20"/>
          <w:szCs w:val="20"/>
        </w:rPr>
      </w:pPr>
      <w:r w:rsidRPr="00502F97">
        <w:rPr>
          <w:rFonts w:ascii="Century Gothic" w:hAnsi="Century Gothic"/>
          <w:noProof/>
          <w:sz w:val="20"/>
          <w:szCs w:val="20"/>
        </w:rPr>
        <w:drawing>
          <wp:inline distT="0" distB="0" distL="0" distR="0" wp14:anchorId="07F36AA8" wp14:editId="31C77FB0">
            <wp:extent cx="1276350" cy="447675"/>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6350" cy="447675"/>
                    </a:xfrm>
                    <a:prstGeom prst="rect">
                      <a:avLst/>
                    </a:prstGeom>
                    <a:noFill/>
                    <a:ln>
                      <a:noFill/>
                    </a:ln>
                  </pic:spPr>
                </pic:pic>
              </a:graphicData>
            </a:graphic>
          </wp:inline>
        </w:drawing>
      </w:r>
    </w:p>
    <w:p w14:paraId="318F76BE" w14:textId="77777777" w:rsidR="00933CBE" w:rsidRPr="00502F97" w:rsidRDefault="00933CBE" w:rsidP="00933CBE">
      <w:pPr>
        <w:pStyle w:val="CUERPOTEXTO"/>
        <w:keepNext/>
        <w:spacing w:after="0"/>
        <w:ind w:left="283"/>
        <w:rPr>
          <w:rFonts w:ascii="Century Gothic" w:hAnsi="Century Gothic"/>
          <w:sz w:val="20"/>
          <w:szCs w:val="20"/>
        </w:rPr>
      </w:pPr>
      <w:r w:rsidRPr="00502F97">
        <w:rPr>
          <w:rFonts w:ascii="Century Gothic" w:hAnsi="Century Gothic"/>
          <w:sz w:val="20"/>
          <w:szCs w:val="20"/>
        </w:rPr>
        <w:t>siendo:</w:t>
      </w:r>
    </w:p>
    <w:p w14:paraId="67CB1C1B"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760223C7" w14:textId="77777777" w:rsidR="00933CBE" w:rsidRPr="00502F97" w:rsidRDefault="00933CBE" w:rsidP="00933CBE">
      <w:pPr>
        <w:pStyle w:val="CUERPOTEXTO"/>
        <w:ind w:left="567"/>
        <w:rPr>
          <w:rFonts w:ascii="Century Gothic" w:hAnsi="Century Gothic"/>
          <w:sz w:val="20"/>
          <w:szCs w:val="20"/>
        </w:rPr>
      </w:pPr>
      <w:r w:rsidRPr="00502F97">
        <w:rPr>
          <w:rFonts w:ascii="Century Gothic" w:hAnsi="Century Gothic"/>
          <w:sz w:val="20"/>
          <w:szCs w:val="20"/>
        </w:rPr>
        <w:t>Re: Número de Reynolds</w:t>
      </w:r>
    </w:p>
    <w:p w14:paraId="4B237FAE" w14:textId="77777777" w:rsidR="00933CBE" w:rsidRPr="00502F97" w:rsidRDefault="00933CBE" w:rsidP="00933CBE">
      <w:pPr>
        <w:pStyle w:val="CUERPOTEXTO"/>
        <w:ind w:left="567"/>
        <w:rPr>
          <w:rFonts w:ascii="Century Gothic" w:hAnsi="Century Gothic"/>
          <w:sz w:val="20"/>
          <w:szCs w:val="20"/>
        </w:rPr>
      </w:pPr>
      <w:proofErr w:type="spellStart"/>
      <w:r w:rsidRPr="00502F97">
        <w:rPr>
          <w:rFonts w:ascii="Century Gothic" w:hAnsi="Century Gothic" w:cs="Symbol"/>
          <w:sz w:val="20"/>
          <w:szCs w:val="20"/>
        </w:rPr>
        <w:t>e</w:t>
      </w:r>
      <w:r w:rsidRPr="00502F97">
        <w:rPr>
          <w:rFonts w:ascii="Century Gothic" w:hAnsi="Century Gothic"/>
          <w:sz w:val="20"/>
          <w:szCs w:val="20"/>
          <w:vertAlign w:val="subscript"/>
        </w:rPr>
        <w:t>r</w:t>
      </w:r>
      <w:proofErr w:type="spellEnd"/>
      <w:r w:rsidRPr="00502F97">
        <w:rPr>
          <w:rFonts w:ascii="Century Gothic" w:hAnsi="Century Gothic"/>
          <w:sz w:val="20"/>
          <w:szCs w:val="20"/>
        </w:rPr>
        <w:t>: Rugosidad relativa</w:t>
      </w:r>
    </w:p>
    <w:p w14:paraId="2BE60FC0" w14:textId="77777777" w:rsidR="00933CBE" w:rsidRPr="00502F97" w:rsidRDefault="00933CBE" w:rsidP="00933CBE">
      <w:pPr>
        <w:pStyle w:val="CUERPOTEXTO"/>
        <w:ind w:left="567"/>
        <w:rPr>
          <w:rFonts w:ascii="Century Gothic" w:hAnsi="Century Gothic"/>
          <w:sz w:val="20"/>
          <w:szCs w:val="20"/>
        </w:rPr>
      </w:pPr>
      <w:r w:rsidRPr="00502F97">
        <w:rPr>
          <w:rFonts w:ascii="Century Gothic" w:hAnsi="Century Gothic"/>
          <w:sz w:val="20"/>
          <w:szCs w:val="20"/>
        </w:rPr>
        <w:lastRenderedPageBreak/>
        <w:t>L: Longitud [m]</w:t>
      </w:r>
    </w:p>
    <w:p w14:paraId="33F714EA" w14:textId="77777777" w:rsidR="00933CBE" w:rsidRPr="00502F97" w:rsidRDefault="00933CBE" w:rsidP="00933CBE">
      <w:pPr>
        <w:pStyle w:val="CUERPOTEXTO"/>
        <w:ind w:left="567"/>
        <w:rPr>
          <w:rFonts w:ascii="Century Gothic" w:hAnsi="Century Gothic"/>
          <w:sz w:val="20"/>
          <w:szCs w:val="20"/>
        </w:rPr>
      </w:pPr>
      <w:r w:rsidRPr="00502F97">
        <w:rPr>
          <w:rFonts w:ascii="Century Gothic" w:hAnsi="Century Gothic"/>
          <w:sz w:val="20"/>
          <w:szCs w:val="20"/>
        </w:rPr>
        <w:t>D: Diámetro</w:t>
      </w:r>
    </w:p>
    <w:p w14:paraId="28EA1885" w14:textId="77777777" w:rsidR="00933CBE" w:rsidRPr="00502F97" w:rsidRDefault="00933CBE" w:rsidP="00933CBE">
      <w:pPr>
        <w:pStyle w:val="CUERPOTEXTO"/>
        <w:ind w:left="567"/>
        <w:rPr>
          <w:rFonts w:ascii="Century Gothic" w:hAnsi="Century Gothic"/>
          <w:sz w:val="20"/>
          <w:szCs w:val="20"/>
        </w:rPr>
      </w:pPr>
      <w:r w:rsidRPr="00502F97">
        <w:rPr>
          <w:rFonts w:ascii="Century Gothic" w:hAnsi="Century Gothic"/>
          <w:sz w:val="20"/>
          <w:szCs w:val="20"/>
        </w:rPr>
        <w:t>v: Velocidad [m/s]</w:t>
      </w:r>
    </w:p>
    <w:p w14:paraId="37BB730B" w14:textId="77777777" w:rsidR="00933CBE" w:rsidRPr="00502F97" w:rsidRDefault="00933CBE" w:rsidP="00933CBE">
      <w:pPr>
        <w:pStyle w:val="CUERPOTEXTO"/>
        <w:ind w:left="567"/>
        <w:rPr>
          <w:rFonts w:ascii="Century Gothic" w:hAnsi="Century Gothic"/>
          <w:sz w:val="20"/>
          <w:szCs w:val="20"/>
        </w:rPr>
      </w:pPr>
      <w:r w:rsidRPr="00502F97">
        <w:rPr>
          <w:rFonts w:ascii="Century Gothic" w:hAnsi="Century Gothic"/>
          <w:sz w:val="20"/>
          <w:szCs w:val="20"/>
        </w:rPr>
        <w:t>g: Aceleración de la gravedad [m/s</w:t>
      </w:r>
      <w:r w:rsidRPr="00502F97">
        <w:rPr>
          <w:rFonts w:ascii="Century Gothic" w:hAnsi="Century Gothic"/>
          <w:sz w:val="20"/>
          <w:szCs w:val="20"/>
          <w:vertAlign w:val="superscript"/>
        </w:rPr>
        <w:t>2</w:t>
      </w:r>
      <w:r w:rsidRPr="00502F97">
        <w:rPr>
          <w:rFonts w:ascii="Century Gothic" w:hAnsi="Century Gothic"/>
          <w:sz w:val="20"/>
          <w:szCs w:val="20"/>
        </w:rPr>
        <w:t>]</w:t>
      </w:r>
    </w:p>
    <w:p w14:paraId="2D3946D6"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095F516B"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 xml:space="preserve">Este dimensionado se ha realizado teniendo en cuenta las peculiaridades de la instalación y los diámetros obtenidos son los mínimos que hacen compatibles el buen funcionamiento y la economía de </w:t>
      </w:r>
      <w:proofErr w:type="gramStart"/>
      <w:r w:rsidRPr="00502F97">
        <w:rPr>
          <w:rFonts w:ascii="Century Gothic" w:hAnsi="Century Gothic"/>
          <w:sz w:val="20"/>
          <w:szCs w:val="20"/>
        </w:rPr>
        <w:t>la misma</w:t>
      </w:r>
      <w:proofErr w:type="gramEnd"/>
      <w:r w:rsidRPr="00502F97">
        <w:rPr>
          <w:rFonts w:ascii="Century Gothic" w:hAnsi="Century Gothic"/>
          <w:sz w:val="20"/>
          <w:szCs w:val="20"/>
        </w:rPr>
        <w:t>.</w:t>
      </w:r>
    </w:p>
    <w:p w14:paraId="28C328E6"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El dimensionado de la red se ha realizado a partir del dimensionado de cada tramo, y para ello se ha partido del circuito más desfavorable que es el que cuenta con la mayor pérdida de presión debida tanto al rozamiento como a su altura geométrica.</w:t>
      </w:r>
    </w:p>
    <w:p w14:paraId="6204CDC7"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 xml:space="preserve">El dimensionado de los tramos se ha realizado </w:t>
      </w:r>
      <w:proofErr w:type="gramStart"/>
      <w:r w:rsidRPr="00502F97">
        <w:rPr>
          <w:rFonts w:ascii="Century Gothic" w:hAnsi="Century Gothic"/>
          <w:sz w:val="20"/>
          <w:szCs w:val="20"/>
        </w:rPr>
        <w:t>de acuerdo al</w:t>
      </w:r>
      <w:proofErr w:type="gramEnd"/>
      <w:r w:rsidRPr="00502F97">
        <w:rPr>
          <w:rFonts w:ascii="Century Gothic" w:hAnsi="Century Gothic"/>
          <w:sz w:val="20"/>
          <w:szCs w:val="20"/>
        </w:rPr>
        <w:t xml:space="preserve"> procedimiento siguiente:</w:t>
      </w:r>
    </w:p>
    <w:p w14:paraId="6D573D68" w14:textId="77777777" w:rsidR="00933CBE" w:rsidRPr="00502F97" w:rsidRDefault="00933CBE" w:rsidP="00933CBE">
      <w:pPr>
        <w:pStyle w:val="CUERPOTEXTO"/>
        <w:keepLines/>
        <w:numPr>
          <w:ilvl w:val="0"/>
          <w:numId w:val="1"/>
        </w:numPr>
        <w:rPr>
          <w:rFonts w:ascii="Century Gothic" w:hAnsi="Century Gothic"/>
          <w:sz w:val="20"/>
          <w:szCs w:val="20"/>
        </w:rPr>
      </w:pPr>
      <w:r w:rsidRPr="00502F97">
        <w:rPr>
          <w:rFonts w:ascii="Century Gothic" w:hAnsi="Century Gothic"/>
          <w:sz w:val="20"/>
          <w:szCs w:val="20"/>
        </w:rPr>
        <w:tab/>
        <w:t>el caudal máximo de cada tramo es igual a la suma de los caudales de los puntos de consumo alimentados por el mismo de acuerdo con la tabla que figura en el apartado 'Condiciones mínimas de suministro'.</w:t>
      </w:r>
    </w:p>
    <w:p w14:paraId="46DBB11F" w14:textId="77777777" w:rsidR="00933CBE" w:rsidRPr="00502F97" w:rsidRDefault="00933CBE" w:rsidP="00933CBE">
      <w:pPr>
        <w:pStyle w:val="CUERPOTEXTO"/>
        <w:keepNext/>
        <w:numPr>
          <w:ilvl w:val="0"/>
          <w:numId w:val="1"/>
        </w:numPr>
        <w:rPr>
          <w:rFonts w:ascii="Century Gothic" w:hAnsi="Century Gothic"/>
          <w:sz w:val="20"/>
          <w:szCs w:val="20"/>
        </w:rPr>
      </w:pPr>
      <w:r w:rsidRPr="00502F97">
        <w:rPr>
          <w:rFonts w:ascii="Century Gothic" w:hAnsi="Century Gothic"/>
          <w:sz w:val="20"/>
          <w:szCs w:val="20"/>
        </w:rPr>
        <w:tab/>
        <w:t>establecimiento de los coeficientes de simultaneidad de cada tramo de acuerdo con el criterio seleccionado (UNE 149201):</w:t>
      </w:r>
    </w:p>
    <w:p w14:paraId="7526D34A"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 xml:space="preserve"> </w:t>
      </w:r>
    </w:p>
    <w:p w14:paraId="6D84C6B3" w14:textId="77777777" w:rsidR="00933CBE" w:rsidRPr="00502F97" w:rsidRDefault="00933CBE" w:rsidP="00933CBE">
      <w:pPr>
        <w:pStyle w:val="CUERPOTEXTO"/>
        <w:keepNext/>
        <w:ind w:left="567"/>
        <w:rPr>
          <w:rFonts w:ascii="Century Gothic" w:hAnsi="Century Gothic"/>
          <w:b/>
          <w:sz w:val="20"/>
          <w:szCs w:val="20"/>
        </w:rPr>
      </w:pPr>
      <w:r w:rsidRPr="00502F97">
        <w:rPr>
          <w:rFonts w:ascii="Century Gothic" w:hAnsi="Century Gothic"/>
          <w:b/>
          <w:sz w:val="20"/>
          <w:szCs w:val="20"/>
        </w:rPr>
        <w:t>Montantes e instalación interior</w:t>
      </w:r>
    </w:p>
    <w:p w14:paraId="1D755B64" w14:textId="60513282" w:rsidR="00933CBE" w:rsidRPr="00502F97" w:rsidRDefault="00933CBE" w:rsidP="00502F97">
      <w:pPr>
        <w:pStyle w:val="CUERPOTEXTO"/>
        <w:spacing w:after="0"/>
        <w:ind w:left="567"/>
        <w:jc w:val="center"/>
        <w:rPr>
          <w:rFonts w:ascii="Century Gothic" w:hAnsi="Century Gothic"/>
          <w:sz w:val="20"/>
          <w:szCs w:val="20"/>
        </w:rPr>
      </w:pPr>
      <w:r w:rsidRPr="00502F97">
        <w:rPr>
          <w:rFonts w:ascii="Century Gothic" w:hAnsi="Century Gothic"/>
          <w:noProof/>
          <w:sz w:val="20"/>
          <w:szCs w:val="20"/>
        </w:rPr>
        <w:drawing>
          <wp:inline distT="0" distB="0" distL="0" distR="0" wp14:anchorId="204F6E59" wp14:editId="03CAD442">
            <wp:extent cx="2085975" cy="24765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3F0E2264" w14:textId="1CBA5515" w:rsidR="00933CBE" w:rsidRPr="00502F97" w:rsidRDefault="00933CBE" w:rsidP="003500C6">
      <w:pPr>
        <w:pStyle w:val="CUERPOTEXTO"/>
        <w:keepNext/>
        <w:spacing w:after="0"/>
        <w:ind w:left="567"/>
        <w:rPr>
          <w:rFonts w:ascii="Century Gothic" w:hAnsi="Century Gothic"/>
          <w:sz w:val="20"/>
          <w:szCs w:val="20"/>
        </w:rPr>
      </w:pPr>
      <w:r w:rsidRPr="00502F97">
        <w:rPr>
          <w:rFonts w:ascii="Century Gothic" w:hAnsi="Century Gothic"/>
          <w:sz w:val="20"/>
          <w:szCs w:val="20"/>
        </w:rPr>
        <w:t>siendo:</w:t>
      </w:r>
    </w:p>
    <w:p w14:paraId="1C4A248E" w14:textId="77777777" w:rsidR="00933CBE" w:rsidRPr="00502F97" w:rsidRDefault="00933CBE" w:rsidP="00933CBE">
      <w:pPr>
        <w:pStyle w:val="CUERPOTEXTO"/>
        <w:ind w:left="850"/>
        <w:rPr>
          <w:rFonts w:ascii="Century Gothic" w:hAnsi="Century Gothic"/>
          <w:sz w:val="20"/>
          <w:szCs w:val="20"/>
        </w:rPr>
      </w:pPr>
      <w:proofErr w:type="spellStart"/>
      <w:r w:rsidRPr="00502F97">
        <w:rPr>
          <w:rFonts w:ascii="Century Gothic" w:hAnsi="Century Gothic"/>
          <w:sz w:val="20"/>
          <w:szCs w:val="20"/>
        </w:rPr>
        <w:t>Qc</w:t>
      </w:r>
      <w:proofErr w:type="spellEnd"/>
      <w:r w:rsidRPr="00502F97">
        <w:rPr>
          <w:rFonts w:ascii="Century Gothic" w:hAnsi="Century Gothic"/>
          <w:sz w:val="20"/>
          <w:szCs w:val="20"/>
        </w:rPr>
        <w:t>: Caudal simultáneo</w:t>
      </w:r>
    </w:p>
    <w:p w14:paraId="54170095" w14:textId="58328025" w:rsidR="00933CBE" w:rsidRPr="00502F97" w:rsidRDefault="00933CBE" w:rsidP="003500C6">
      <w:pPr>
        <w:pStyle w:val="CUERPOTEXTO"/>
        <w:ind w:left="850"/>
        <w:rPr>
          <w:rFonts w:ascii="Century Gothic" w:hAnsi="Century Gothic"/>
          <w:sz w:val="20"/>
          <w:szCs w:val="20"/>
        </w:rPr>
      </w:pPr>
      <w:r w:rsidRPr="00502F97">
        <w:rPr>
          <w:rFonts w:ascii="Century Gothic" w:hAnsi="Century Gothic"/>
          <w:sz w:val="20"/>
          <w:szCs w:val="20"/>
        </w:rPr>
        <w:t>Qt: Caudal bruto</w:t>
      </w:r>
    </w:p>
    <w:p w14:paraId="117E3504" w14:textId="77777777" w:rsidR="00933CBE" w:rsidRPr="00502F97" w:rsidRDefault="00933CBE" w:rsidP="00933CBE">
      <w:pPr>
        <w:pStyle w:val="CUERPOTEXTO"/>
        <w:keepLines/>
        <w:numPr>
          <w:ilvl w:val="0"/>
          <w:numId w:val="1"/>
        </w:numPr>
        <w:rPr>
          <w:rFonts w:ascii="Century Gothic" w:hAnsi="Century Gothic"/>
          <w:sz w:val="20"/>
          <w:szCs w:val="20"/>
        </w:rPr>
      </w:pPr>
      <w:r w:rsidRPr="00502F97">
        <w:rPr>
          <w:rFonts w:ascii="Century Gothic" w:hAnsi="Century Gothic"/>
          <w:sz w:val="20"/>
          <w:szCs w:val="20"/>
        </w:rPr>
        <w:tab/>
        <w:t>determinación del caudal de cálculo en cada tramo como producto del caudal máximo por el coeficiente de simultaneidad correspondiente.</w:t>
      </w:r>
    </w:p>
    <w:p w14:paraId="31C4889C" w14:textId="77777777" w:rsidR="00933CBE" w:rsidRPr="00502F97" w:rsidRDefault="00933CBE" w:rsidP="00933CBE">
      <w:pPr>
        <w:pStyle w:val="CUERPOTEXTO"/>
        <w:keepNext/>
        <w:numPr>
          <w:ilvl w:val="0"/>
          <w:numId w:val="1"/>
        </w:numPr>
        <w:rPr>
          <w:rFonts w:ascii="Century Gothic" w:hAnsi="Century Gothic"/>
          <w:sz w:val="20"/>
          <w:szCs w:val="20"/>
        </w:rPr>
      </w:pPr>
      <w:r w:rsidRPr="00502F97">
        <w:rPr>
          <w:rFonts w:ascii="Century Gothic" w:hAnsi="Century Gothic"/>
          <w:sz w:val="20"/>
          <w:szCs w:val="20"/>
        </w:rPr>
        <w:tab/>
        <w:t>elección de una velocidad de cálculo comprendida dentro de los intervalos siguientes:</w:t>
      </w:r>
    </w:p>
    <w:p w14:paraId="5BB99E50" w14:textId="77777777" w:rsidR="00933CBE" w:rsidRPr="00502F97" w:rsidRDefault="00933CBE" w:rsidP="00933CBE">
      <w:pPr>
        <w:pStyle w:val="CUERPOTEXTO"/>
        <w:keepLines/>
        <w:ind w:left="567"/>
        <w:rPr>
          <w:rFonts w:ascii="Century Gothic" w:hAnsi="Century Gothic"/>
          <w:sz w:val="20"/>
          <w:szCs w:val="20"/>
        </w:rPr>
      </w:pPr>
      <w:r w:rsidRPr="00502F97">
        <w:rPr>
          <w:rFonts w:ascii="Century Gothic" w:hAnsi="Century Gothic"/>
          <w:sz w:val="20"/>
          <w:szCs w:val="20"/>
        </w:rPr>
        <w:t>tuberías metálicas: entre 0.50 y 2.00 m/s.</w:t>
      </w:r>
    </w:p>
    <w:p w14:paraId="7AFB5480" w14:textId="77777777" w:rsidR="00933CBE" w:rsidRPr="00502F97" w:rsidRDefault="00933CBE" w:rsidP="00933CBE">
      <w:pPr>
        <w:pStyle w:val="CUERPOTEXTO"/>
        <w:keepLines/>
        <w:ind w:left="567"/>
        <w:rPr>
          <w:rFonts w:ascii="Century Gothic" w:hAnsi="Century Gothic"/>
          <w:sz w:val="20"/>
          <w:szCs w:val="20"/>
        </w:rPr>
      </w:pPr>
      <w:r w:rsidRPr="00502F97">
        <w:rPr>
          <w:rFonts w:ascii="Century Gothic" w:hAnsi="Century Gothic"/>
          <w:sz w:val="20"/>
          <w:szCs w:val="20"/>
        </w:rPr>
        <w:t>tuberías termoplásticas y multicapas: entre 0.50 y 3.50 m/s.</w:t>
      </w:r>
    </w:p>
    <w:p w14:paraId="16E5B2DB" w14:textId="77777777" w:rsidR="00933CBE" w:rsidRPr="00502F97" w:rsidRDefault="00933CBE" w:rsidP="00933CBE">
      <w:pPr>
        <w:pStyle w:val="CUERPOTEXTO"/>
        <w:keepLines/>
        <w:numPr>
          <w:ilvl w:val="0"/>
          <w:numId w:val="1"/>
        </w:numPr>
        <w:rPr>
          <w:rFonts w:ascii="Century Gothic" w:hAnsi="Century Gothic"/>
          <w:sz w:val="20"/>
          <w:szCs w:val="20"/>
        </w:rPr>
      </w:pPr>
      <w:r w:rsidRPr="00502F97">
        <w:rPr>
          <w:rFonts w:ascii="Century Gothic" w:hAnsi="Century Gothic"/>
          <w:sz w:val="20"/>
          <w:szCs w:val="20"/>
        </w:rPr>
        <w:tab/>
        <w:t>obtención del diámetro correspondiente a cada tramo en función del caudal y de la velocidad.</w:t>
      </w:r>
    </w:p>
    <w:p w14:paraId="050B34E2" w14:textId="77777777" w:rsidR="00933CBE" w:rsidRPr="00502F97" w:rsidRDefault="00933CBE" w:rsidP="00933CBE">
      <w:pPr>
        <w:spacing w:after="0" w:line="0" w:lineRule="auto"/>
        <w:rPr>
          <w:rFonts w:ascii="Century Gothic" w:hAnsi="Century Gothic"/>
          <w:sz w:val="20"/>
          <w:szCs w:val="20"/>
        </w:rPr>
      </w:pPr>
      <w:bookmarkStart w:id="4" w:name="PROJ:1_anexo:1:1:_RC_:1:3"/>
      <w:bookmarkEnd w:id="4"/>
    </w:p>
    <w:p w14:paraId="19F873DB"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t>1.3. Comprobación de la presión</w:t>
      </w:r>
    </w:p>
    <w:p w14:paraId="6B816369"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Se ha comprobado que la presión disponible en el punto de consumo más desfavorable supera los valores mínimos indicados en el apartado 'Condiciones mínimas de suministro' y que en todos los puntos de consumo no se supera el valor máximo indicado en el mismo apartado, de acuerdo con lo siguiente:</w:t>
      </w:r>
    </w:p>
    <w:p w14:paraId="5DCF9E97" w14:textId="77777777" w:rsidR="00933CBE" w:rsidRPr="00502F97" w:rsidRDefault="00933CBE" w:rsidP="00933CBE">
      <w:pPr>
        <w:pStyle w:val="CUERPOTEXTO"/>
        <w:keepLines/>
        <w:numPr>
          <w:ilvl w:val="0"/>
          <w:numId w:val="2"/>
        </w:numPr>
        <w:rPr>
          <w:rFonts w:ascii="Century Gothic" w:hAnsi="Century Gothic"/>
          <w:sz w:val="20"/>
          <w:szCs w:val="20"/>
        </w:rPr>
      </w:pPr>
      <w:r w:rsidRPr="00502F97">
        <w:rPr>
          <w:rFonts w:ascii="Century Gothic" w:hAnsi="Century Gothic"/>
          <w:sz w:val="20"/>
          <w:szCs w:val="20"/>
        </w:rPr>
        <w:tab/>
        <w:t>se ha determinado la pérdida de presión del circuito sumando las pérdidas de presión total de cada tramo. Las pérdidas de carga localizadas se estiman en un 20% al 30% de la producida sobre la longitud real del tramo y se evalúan los elementos de la instalación donde es conocida la pérdida de carga localizada sin necesidad de estimarla.</w:t>
      </w:r>
    </w:p>
    <w:p w14:paraId="0103F2FB" w14:textId="77777777" w:rsidR="00933CBE" w:rsidRPr="00502F97" w:rsidRDefault="00933CBE" w:rsidP="00933CBE">
      <w:pPr>
        <w:pStyle w:val="CUERPOTEXTO"/>
        <w:keepLines/>
        <w:numPr>
          <w:ilvl w:val="0"/>
          <w:numId w:val="2"/>
        </w:numPr>
        <w:rPr>
          <w:rFonts w:ascii="Century Gothic" w:hAnsi="Century Gothic"/>
          <w:sz w:val="20"/>
          <w:szCs w:val="20"/>
        </w:rPr>
      </w:pPr>
      <w:r w:rsidRPr="00502F97">
        <w:rPr>
          <w:rFonts w:ascii="Century Gothic" w:hAnsi="Century Gothic"/>
          <w:sz w:val="20"/>
          <w:szCs w:val="20"/>
        </w:rPr>
        <w:tab/>
        <w:t>se ha comprobado la suficiencia de la presión disponible: una vez obtenidos los valores de las pérdidas de presión del circuito, se ha comprobado si son sensiblemente iguales a la presión disponible que queda después de descontar a la presión total, la altura geométrica y la residual del punto de consumo más desfavorable.</w:t>
      </w:r>
    </w:p>
    <w:p w14:paraId="0F8D3EC9" w14:textId="77777777" w:rsidR="00933CBE" w:rsidRPr="00502F97" w:rsidRDefault="00933CBE" w:rsidP="00933CBE">
      <w:pPr>
        <w:spacing w:after="0" w:line="0" w:lineRule="auto"/>
        <w:rPr>
          <w:rFonts w:ascii="Century Gothic" w:hAnsi="Century Gothic"/>
          <w:sz w:val="20"/>
          <w:szCs w:val="20"/>
        </w:rPr>
      </w:pPr>
      <w:bookmarkStart w:id="5" w:name="PROJ:1_anexo:1:1:_RC_:2"/>
      <w:bookmarkEnd w:id="5"/>
    </w:p>
    <w:p w14:paraId="38AE4FF5" w14:textId="77777777" w:rsidR="00933CBE" w:rsidRPr="00502F97" w:rsidRDefault="00933CBE" w:rsidP="00933CBE">
      <w:pPr>
        <w:pStyle w:val="CAP3"/>
        <w:keepNext/>
        <w:rPr>
          <w:rFonts w:ascii="Century Gothic" w:hAnsi="Century Gothic"/>
          <w:sz w:val="20"/>
          <w:szCs w:val="20"/>
        </w:rPr>
      </w:pPr>
      <w:r w:rsidRPr="00502F97">
        <w:rPr>
          <w:rFonts w:ascii="Century Gothic" w:hAnsi="Century Gothic"/>
          <w:sz w:val="20"/>
          <w:szCs w:val="20"/>
        </w:rPr>
        <w:lastRenderedPageBreak/>
        <w:t>2. Derivaciones a cuartos húmedos y ramales de enlace</w:t>
      </w:r>
    </w:p>
    <w:p w14:paraId="123E2C0E" w14:textId="156A22E2" w:rsidR="00933CBE" w:rsidRPr="00502F97" w:rsidRDefault="00933CBE" w:rsidP="00933CBE">
      <w:pPr>
        <w:pStyle w:val="CUERPOTEXTO"/>
        <w:jc w:val="center"/>
        <w:rPr>
          <w:rFonts w:ascii="Century Gothic" w:hAnsi="Century Gothic"/>
          <w:sz w:val="20"/>
          <w:szCs w:val="20"/>
        </w:rPr>
      </w:pPr>
      <w:r w:rsidRPr="00502F97">
        <w:rPr>
          <w:rFonts w:ascii="Century Gothic" w:hAnsi="Century Gothic"/>
          <w:noProof/>
          <w:sz w:val="20"/>
          <w:szCs w:val="20"/>
        </w:rPr>
        <w:drawing>
          <wp:inline distT="0" distB="0" distL="0" distR="0" wp14:anchorId="22491278" wp14:editId="5F0D1EF9">
            <wp:extent cx="6031230" cy="2416175"/>
            <wp:effectExtent l="0" t="0" r="762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1230" cy="2416175"/>
                    </a:xfrm>
                    <a:prstGeom prst="rect">
                      <a:avLst/>
                    </a:prstGeom>
                    <a:noFill/>
                    <a:ln>
                      <a:noFill/>
                    </a:ln>
                  </pic:spPr>
                </pic:pic>
              </a:graphicData>
            </a:graphic>
          </wp:inline>
        </w:drawing>
      </w:r>
    </w:p>
    <w:p w14:paraId="762CE029"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Los ramales de enlace a los aparatos domésticos se han dimensionado conforme a lo que se establece en la siguiente tabla. En el resto, se han tenido en cuenta los criterios de suministro dados por las características de cada aparato y han sido dimensionados en consecuencia.</w:t>
      </w:r>
    </w:p>
    <w:p w14:paraId="32A0853F"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4A0" w:firstRow="1" w:lastRow="0" w:firstColumn="1" w:lastColumn="0" w:noHBand="0" w:noVBand="1"/>
      </w:tblPr>
      <w:tblGrid>
        <w:gridCol w:w="4825"/>
        <w:gridCol w:w="1710"/>
        <w:gridCol w:w="2955"/>
      </w:tblGrid>
      <w:tr w:rsidR="00933CBE" w:rsidRPr="00502F97" w14:paraId="3F573628" w14:textId="77777777" w:rsidTr="00933CBE">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5324A192" w14:textId="77777777" w:rsidR="00933CBE" w:rsidRPr="00502F97" w:rsidRDefault="00933CBE">
            <w:pPr>
              <w:pStyle w:val="CUERPOTEXTOTABLA"/>
              <w:spacing w:line="256" w:lineRule="auto"/>
              <w:jc w:val="center"/>
              <w:rPr>
                <w:rFonts w:ascii="Century Gothic" w:hAnsi="Century Gothic"/>
                <w:b/>
                <w:sz w:val="20"/>
                <w:szCs w:val="20"/>
              </w:rPr>
            </w:pPr>
            <w:r w:rsidRPr="00502F97">
              <w:rPr>
                <w:rFonts w:ascii="Century Gothic" w:hAnsi="Century Gothic"/>
                <w:b/>
                <w:sz w:val="20"/>
                <w:szCs w:val="20"/>
              </w:rPr>
              <w:t>Diámetros mínimos de derivaciones a los aparatos</w:t>
            </w:r>
          </w:p>
        </w:tc>
      </w:tr>
      <w:tr w:rsidR="00933CBE" w:rsidRPr="00502F97" w14:paraId="0520E656" w14:textId="77777777" w:rsidTr="00933CB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FC56763"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Aparato o punto de consumo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31C060D"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Diámetro nominal del ramal de enlace</w:t>
            </w:r>
          </w:p>
        </w:tc>
      </w:tr>
      <w:tr w:rsidR="00933CBE" w:rsidRPr="00502F97" w14:paraId="316DA8A2" w14:textId="77777777" w:rsidTr="00933CBE">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A311AE7" w14:textId="77777777" w:rsidR="00933CBE" w:rsidRPr="00502F97" w:rsidRDefault="00933CBE">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8E1E976"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Tubo de 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DC609AA"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Tubo de cobre o plástico (mm)</w:t>
            </w:r>
          </w:p>
        </w:tc>
      </w:tr>
      <w:tr w:rsidR="00933CBE" w:rsidRPr="00502F97" w14:paraId="5893CBC6" w14:textId="77777777" w:rsidTr="00933CBE">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56EB1BA7"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Hidromezclador de uso médico</w:t>
            </w:r>
          </w:p>
        </w:tc>
        <w:tc>
          <w:tcPr>
            <w:tcW w:w="0" w:type="auto"/>
            <w:tcBorders>
              <w:top w:val="single" w:sz="2" w:space="0" w:color="000000"/>
              <w:left w:val="single" w:sz="2" w:space="0" w:color="000000"/>
              <w:bottom w:val="nil"/>
              <w:right w:val="single" w:sz="2" w:space="0" w:color="000000"/>
            </w:tcBorders>
            <w:noWrap/>
            <w:vAlign w:val="center"/>
            <w:hideMark/>
          </w:tcPr>
          <w:p w14:paraId="1490B67A"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0EB533E0"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16</w:t>
            </w:r>
          </w:p>
        </w:tc>
      </w:tr>
      <w:tr w:rsidR="00933CBE" w:rsidRPr="00502F97" w14:paraId="39A19A4E" w14:textId="77777777" w:rsidTr="00933CBE">
        <w:trPr>
          <w:cantSplit/>
          <w:jc w:val="center"/>
        </w:trPr>
        <w:tc>
          <w:tcPr>
            <w:tcW w:w="0" w:type="auto"/>
            <w:tcBorders>
              <w:top w:val="nil"/>
              <w:left w:val="single" w:sz="2" w:space="0" w:color="000000"/>
              <w:bottom w:val="nil"/>
              <w:right w:val="single" w:sz="2" w:space="0" w:color="000000"/>
            </w:tcBorders>
            <w:noWrap/>
            <w:vAlign w:val="center"/>
            <w:hideMark/>
          </w:tcPr>
          <w:p w14:paraId="38FD5BFF"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Lavabo con hidromezclador temporizado</w:t>
            </w:r>
          </w:p>
        </w:tc>
        <w:tc>
          <w:tcPr>
            <w:tcW w:w="0" w:type="auto"/>
            <w:tcBorders>
              <w:top w:val="nil"/>
              <w:left w:val="single" w:sz="2" w:space="0" w:color="000000"/>
              <w:bottom w:val="nil"/>
              <w:right w:val="single" w:sz="2" w:space="0" w:color="000000"/>
            </w:tcBorders>
            <w:noWrap/>
            <w:vAlign w:val="center"/>
            <w:hideMark/>
          </w:tcPr>
          <w:p w14:paraId="6ABF2325"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w:t>
            </w:r>
          </w:p>
        </w:tc>
        <w:tc>
          <w:tcPr>
            <w:tcW w:w="0" w:type="auto"/>
            <w:tcBorders>
              <w:top w:val="nil"/>
              <w:left w:val="single" w:sz="2" w:space="0" w:color="000000"/>
              <w:bottom w:val="nil"/>
              <w:right w:val="single" w:sz="2" w:space="0" w:color="000000"/>
            </w:tcBorders>
            <w:noWrap/>
            <w:vAlign w:val="center"/>
            <w:hideMark/>
          </w:tcPr>
          <w:p w14:paraId="41B436A8"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16</w:t>
            </w:r>
          </w:p>
        </w:tc>
      </w:tr>
      <w:tr w:rsidR="00933CBE" w:rsidRPr="00502F97" w14:paraId="036B02BB" w14:textId="77777777" w:rsidTr="00933CBE">
        <w:trPr>
          <w:cantSplit/>
          <w:jc w:val="center"/>
        </w:trPr>
        <w:tc>
          <w:tcPr>
            <w:tcW w:w="0" w:type="auto"/>
            <w:tcBorders>
              <w:top w:val="nil"/>
              <w:left w:val="single" w:sz="2" w:space="0" w:color="000000"/>
              <w:bottom w:val="nil"/>
              <w:right w:val="single" w:sz="2" w:space="0" w:color="000000"/>
            </w:tcBorders>
            <w:noWrap/>
            <w:vAlign w:val="center"/>
            <w:hideMark/>
          </w:tcPr>
          <w:p w14:paraId="07A982EC"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Inodoro con cisterna</w:t>
            </w:r>
          </w:p>
        </w:tc>
        <w:tc>
          <w:tcPr>
            <w:tcW w:w="0" w:type="auto"/>
            <w:tcBorders>
              <w:top w:val="nil"/>
              <w:left w:val="single" w:sz="2" w:space="0" w:color="000000"/>
              <w:bottom w:val="nil"/>
              <w:right w:val="single" w:sz="2" w:space="0" w:color="000000"/>
            </w:tcBorders>
            <w:noWrap/>
            <w:vAlign w:val="center"/>
            <w:hideMark/>
          </w:tcPr>
          <w:p w14:paraId="0D105062"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w:t>
            </w:r>
          </w:p>
        </w:tc>
        <w:tc>
          <w:tcPr>
            <w:tcW w:w="0" w:type="auto"/>
            <w:tcBorders>
              <w:top w:val="nil"/>
              <w:left w:val="single" w:sz="2" w:space="0" w:color="000000"/>
              <w:bottom w:val="nil"/>
              <w:right w:val="single" w:sz="2" w:space="0" w:color="000000"/>
            </w:tcBorders>
            <w:noWrap/>
            <w:vAlign w:val="center"/>
            <w:hideMark/>
          </w:tcPr>
          <w:p w14:paraId="45E87F5E"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16</w:t>
            </w:r>
          </w:p>
        </w:tc>
      </w:tr>
      <w:tr w:rsidR="00933CBE" w:rsidRPr="00502F97" w14:paraId="772C0B2C" w14:textId="77777777" w:rsidTr="00933CBE">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3B5481A5"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Ducha con rociador hidromezclador antivandálico</w:t>
            </w:r>
          </w:p>
        </w:tc>
        <w:tc>
          <w:tcPr>
            <w:tcW w:w="0" w:type="auto"/>
            <w:tcBorders>
              <w:top w:val="nil"/>
              <w:left w:val="single" w:sz="2" w:space="0" w:color="000000"/>
              <w:bottom w:val="single" w:sz="2" w:space="0" w:color="000000"/>
              <w:right w:val="single" w:sz="2" w:space="0" w:color="000000"/>
            </w:tcBorders>
            <w:noWrap/>
            <w:vAlign w:val="center"/>
            <w:hideMark/>
          </w:tcPr>
          <w:p w14:paraId="33FE7C3F"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w:t>
            </w:r>
          </w:p>
        </w:tc>
        <w:tc>
          <w:tcPr>
            <w:tcW w:w="0" w:type="auto"/>
            <w:tcBorders>
              <w:top w:val="nil"/>
              <w:left w:val="single" w:sz="2" w:space="0" w:color="000000"/>
              <w:bottom w:val="single" w:sz="2" w:space="0" w:color="000000"/>
              <w:right w:val="single" w:sz="2" w:space="0" w:color="000000"/>
            </w:tcBorders>
            <w:noWrap/>
            <w:vAlign w:val="center"/>
            <w:hideMark/>
          </w:tcPr>
          <w:p w14:paraId="44F1468B"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16</w:t>
            </w:r>
          </w:p>
        </w:tc>
      </w:tr>
    </w:tbl>
    <w:p w14:paraId="6FB59E87" w14:textId="77777777" w:rsidR="00933CBE" w:rsidRPr="00502F97" w:rsidRDefault="00933CBE" w:rsidP="00933CBE">
      <w:pPr>
        <w:spacing w:after="0" w:line="0" w:lineRule="auto"/>
        <w:rPr>
          <w:rFonts w:ascii="Century Gothic" w:hAnsi="Century Gothic"/>
          <w:sz w:val="20"/>
          <w:szCs w:val="20"/>
        </w:rPr>
      </w:pPr>
    </w:p>
    <w:p w14:paraId="258F9183"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0FCE1ACC"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Los diámetros de los diferentes tramos de la red de suministro se han dimensionado conforme al procedimiento establecido en el apartado 'Tramos', adoptándose como mínimo los siguientes valores:</w:t>
      </w:r>
    </w:p>
    <w:p w14:paraId="70E6AD2B"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4A0" w:firstRow="1" w:lastRow="0" w:firstColumn="1" w:lastColumn="0" w:noHBand="0" w:noVBand="1"/>
      </w:tblPr>
      <w:tblGrid>
        <w:gridCol w:w="6038"/>
        <w:gridCol w:w="1018"/>
        <w:gridCol w:w="2434"/>
      </w:tblGrid>
      <w:tr w:rsidR="00933CBE" w:rsidRPr="00502F97" w14:paraId="5732F0EB" w14:textId="77777777" w:rsidTr="00933CBE">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5C8E3924" w14:textId="77777777" w:rsidR="00933CBE" w:rsidRPr="00502F97" w:rsidRDefault="00933CBE">
            <w:pPr>
              <w:pStyle w:val="CUERPOTEXTOTABLA"/>
              <w:spacing w:line="256" w:lineRule="auto"/>
              <w:jc w:val="center"/>
              <w:rPr>
                <w:rFonts w:ascii="Century Gothic" w:hAnsi="Century Gothic"/>
                <w:b/>
                <w:sz w:val="20"/>
                <w:szCs w:val="20"/>
              </w:rPr>
            </w:pPr>
            <w:r w:rsidRPr="00502F97">
              <w:rPr>
                <w:rFonts w:ascii="Century Gothic" w:hAnsi="Century Gothic"/>
                <w:b/>
                <w:sz w:val="20"/>
                <w:szCs w:val="20"/>
              </w:rPr>
              <w:t>Diámetros mínimos de alimentación</w:t>
            </w:r>
          </w:p>
        </w:tc>
      </w:tr>
      <w:tr w:rsidR="00933CBE" w:rsidRPr="00502F97" w14:paraId="63800F14" w14:textId="77777777" w:rsidTr="00933CB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8515537"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Tramo considerado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33F03C2"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Diámetro nominal del tubo de alimentación</w:t>
            </w:r>
          </w:p>
        </w:tc>
      </w:tr>
      <w:tr w:rsidR="00933CBE" w:rsidRPr="00502F97" w14:paraId="1870AFC3" w14:textId="77777777" w:rsidTr="00933CBE">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2CF57CB" w14:textId="77777777" w:rsidR="00933CBE" w:rsidRPr="00502F97" w:rsidRDefault="00933CBE">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767E54F"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7D4C404"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Cobre o plástico (mm)</w:t>
            </w:r>
          </w:p>
        </w:tc>
      </w:tr>
      <w:tr w:rsidR="00933CBE" w:rsidRPr="00502F97" w14:paraId="6B7B209F" w14:textId="77777777" w:rsidTr="00933CBE">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36138B4E"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Alimentación a cuarto húmedo privado: baño, aseo, cocina.</w:t>
            </w:r>
          </w:p>
        </w:tc>
        <w:tc>
          <w:tcPr>
            <w:tcW w:w="0" w:type="auto"/>
            <w:tcBorders>
              <w:top w:val="single" w:sz="2" w:space="0" w:color="000000"/>
              <w:left w:val="single" w:sz="2" w:space="0" w:color="000000"/>
              <w:bottom w:val="nil"/>
              <w:right w:val="single" w:sz="2" w:space="0" w:color="000000"/>
            </w:tcBorders>
            <w:noWrap/>
            <w:vAlign w:val="center"/>
            <w:hideMark/>
          </w:tcPr>
          <w:p w14:paraId="26D40368"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3/4</w:t>
            </w:r>
          </w:p>
        </w:tc>
        <w:tc>
          <w:tcPr>
            <w:tcW w:w="0" w:type="auto"/>
            <w:tcBorders>
              <w:top w:val="single" w:sz="2" w:space="0" w:color="000000"/>
              <w:left w:val="single" w:sz="2" w:space="0" w:color="000000"/>
              <w:bottom w:val="nil"/>
              <w:right w:val="single" w:sz="2" w:space="0" w:color="000000"/>
            </w:tcBorders>
            <w:noWrap/>
            <w:vAlign w:val="center"/>
            <w:hideMark/>
          </w:tcPr>
          <w:p w14:paraId="2E937EFB"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20</w:t>
            </w:r>
          </w:p>
        </w:tc>
      </w:tr>
      <w:tr w:rsidR="00933CBE" w:rsidRPr="00502F97" w14:paraId="4768FB82" w14:textId="77777777" w:rsidTr="00933CBE">
        <w:trPr>
          <w:cantSplit/>
          <w:jc w:val="center"/>
        </w:trPr>
        <w:tc>
          <w:tcPr>
            <w:tcW w:w="0" w:type="auto"/>
            <w:tcBorders>
              <w:top w:val="nil"/>
              <w:left w:val="single" w:sz="2" w:space="0" w:color="000000"/>
              <w:bottom w:val="nil"/>
              <w:right w:val="single" w:sz="2" w:space="0" w:color="000000"/>
            </w:tcBorders>
            <w:noWrap/>
            <w:vAlign w:val="center"/>
            <w:hideMark/>
          </w:tcPr>
          <w:p w14:paraId="6D9F71DD"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Alimentación a derivación particular: vivienda, apartamento, local comercial</w:t>
            </w:r>
          </w:p>
        </w:tc>
        <w:tc>
          <w:tcPr>
            <w:tcW w:w="0" w:type="auto"/>
            <w:tcBorders>
              <w:top w:val="nil"/>
              <w:left w:val="single" w:sz="2" w:space="0" w:color="000000"/>
              <w:bottom w:val="nil"/>
              <w:right w:val="single" w:sz="2" w:space="0" w:color="000000"/>
            </w:tcBorders>
            <w:noWrap/>
            <w:vAlign w:val="center"/>
            <w:hideMark/>
          </w:tcPr>
          <w:p w14:paraId="18E0201A"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3/4</w:t>
            </w:r>
          </w:p>
        </w:tc>
        <w:tc>
          <w:tcPr>
            <w:tcW w:w="0" w:type="auto"/>
            <w:tcBorders>
              <w:top w:val="nil"/>
              <w:left w:val="single" w:sz="2" w:space="0" w:color="000000"/>
              <w:bottom w:val="nil"/>
              <w:right w:val="single" w:sz="2" w:space="0" w:color="000000"/>
            </w:tcBorders>
            <w:noWrap/>
            <w:vAlign w:val="center"/>
            <w:hideMark/>
          </w:tcPr>
          <w:p w14:paraId="693C3FD0"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20</w:t>
            </w:r>
          </w:p>
        </w:tc>
      </w:tr>
      <w:tr w:rsidR="00933CBE" w:rsidRPr="00502F97" w14:paraId="251202E2" w14:textId="77777777" w:rsidTr="00933CBE">
        <w:trPr>
          <w:cantSplit/>
          <w:jc w:val="center"/>
        </w:trPr>
        <w:tc>
          <w:tcPr>
            <w:tcW w:w="0" w:type="auto"/>
            <w:tcBorders>
              <w:top w:val="nil"/>
              <w:left w:val="single" w:sz="2" w:space="0" w:color="000000"/>
              <w:bottom w:val="nil"/>
              <w:right w:val="single" w:sz="2" w:space="0" w:color="000000"/>
            </w:tcBorders>
            <w:noWrap/>
            <w:vAlign w:val="center"/>
            <w:hideMark/>
          </w:tcPr>
          <w:p w14:paraId="2185881D"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Columna (montante o descendente)</w:t>
            </w:r>
          </w:p>
        </w:tc>
        <w:tc>
          <w:tcPr>
            <w:tcW w:w="0" w:type="auto"/>
            <w:tcBorders>
              <w:top w:val="nil"/>
              <w:left w:val="single" w:sz="2" w:space="0" w:color="000000"/>
              <w:bottom w:val="nil"/>
              <w:right w:val="single" w:sz="2" w:space="0" w:color="000000"/>
            </w:tcBorders>
            <w:noWrap/>
            <w:vAlign w:val="center"/>
            <w:hideMark/>
          </w:tcPr>
          <w:p w14:paraId="1AC38ADE"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3/4</w:t>
            </w:r>
          </w:p>
        </w:tc>
        <w:tc>
          <w:tcPr>
            <w:tcW w:w="0" w:type="auto"/>
            <w:tcBorders>
              <w:top w:val="nil"/>
              <w:left w:val="single" w:sz="2" w:space="0" w:color="000000"/>
              <w:bottom w:val="nil"/>
              <w:right w:val="single" w:sz="2" w:space="0" w:color="000000"/>
            </w:tcBorders>
            <w:noWrap/>
            <w:vAlign w:val="center"/>
            <w:hideMark/>
          </w:tcPr>
          <w:p w14:paraId="5AB32151"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20</w:t>
            </w:r>
          </w:p>
        </w:tc>
      </w:tr>
      <w:tr w:rsidR="00933CBE" w:rsidRPr="00502F97" w14:paraId="6473BBA5" w14:textId="77777777" w:rsidTr="00933CBE">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3F056581" w14:textId="77777777" w:rsidR="00933CBE" w:rsidRPr="00502F97" w:rsidRDefault="00933CBE">
            <w:pPr>
              <w:pStyle w:val="CUERPOTEXTOTABLA"/>
              <w:spacing w:line="256" w:lineRule="auto"/>
              <w:rPr>
                <w:rFonts w:ascii="Century Gothic" w:hAnsi="Century Gothic"/>
                <w:sz w:val="20"/>
                <w:szCs w:val="20"/>
              </w:rPr>
            </w:pPr>
            <w:r w:rsidRPr="00502F97">
              <w:rPr>
                <w:rFonts w:ascii="Century Gothic" w:hAnsi="Century Gothic"/>
                <w:sz w:val="20"/>
                <w:szCs w:val="20"/>
              </w:rPr>
              <w:t>Distribuidor principal</w:t>
            </w:r>
          </w:p>
        </w:tc>
        <w:tc>
          <w:tcPr>
            <w:tcW w:w="0" w:type="auto"/>
            <w:tcBorders>
              <w:top w:val="nil"/>
              <w:left w:val="single" w:sz="2" w:space="0" w:color="000000"/>
              <w:bottom w:val="single" w:sz="2" w:space="0" w:color="000000"/>
              <w:right w:val="single" w:sz="2" w:space="0" w:color="000000"/>
            </w:tcBorders>
            <w:noWrap/>
            <w:vAlign w:val="center"/>
            <w:hideMark/>
          </w:tcPr>
          <w:p w14:paraId="4D13D1B1"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w:t>
            </w:r>
          </w:p>
        </w:tc>
        <w:tc>
          <w:tcPr>
            <w:tcW w:w="0" w:type="auto"/>
            <w:tcBorders>
              <w:top w:val="nil"/>
              <w:left w:val="single" w:sz="2" w:space="0" w:color="000000"/>
              <w:bottom w:val="single" w:sz="2" w:space="0" w:color="000000"/>
              <w:right w:val="single" w:sz="2" w:space="0" w:color="000000"/>
            </w:tcBorders>
            <w:noWrap/>
            <w:vAlign w:val="center"/>
            <w:hideMark/>
          </w:tcPr>
          <w:p w14:paraId="0C604640"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25</w:t>
            </w:r>
          </w:p>
        </w:tc>
      </w:tr>
    </w:tbl>
    <w:p w14:paraId="46F2A433" w14:textId="77777777" w:rsidR="00933CBE" w:rsidRPr="00502F97" w:rsidRDefault="00933CBE" w:rsidP="00933CBE">
      <w:pPr>
        <w:spacing w:after="0" w:line="0" w:lineRule="auto"/>
        <w:rPr>
          <w:rFonts w:ascii="Century Gothic" w:hAnsi="Century Gothic"/>
          <w:sz w:val="20"/>
          <w:szCs w:val="20"/>
        </w:rPr>
      </w:pPr>
    </w:p>
    <w:p w14:paraId="65920AA6" w14:textId="246AFF0F" w:rsidR="00933CBE" w:rsidRDefault="00933CBE" w:rsidP="00933CBE">
      <w:pPr>
        <w:pStyle w:val="CUERPOTEXTO"/>
        <w:keepLines/>
        <w:rPr>
          <w:rFonts w:ascii="Century Gothic" w:hAnsi="Century Gothic"/>
          <w:sz w:val="20"/>
          <w:szCs w:val="20"/>
        </w:rPr>
      </w:pPr>
    </w:p>
    <w:p w14:paraId="37C7A057" w14:textId="005F04CC" w:rsidR="003500C6" w:rsidRDefault="003500C6" w:rsidP="00933CBE">
      <w:pPr>
        <w:pStyle w:val="CUERPOTEXTO"/>
        <w:keepLines/>
        <w:rPr>
          <w:rFonts w:ascii="Century Gothic" w:hAnsi="Century Gothic"/>
          <w:sz w:val="20"/>
          <w:szCs w:val="20"/>
        </w:rPr>
      </w:pPr>
    </w:p>
    <w:p w14:paraId="5847BBC2" w14:textId="77777777" w:rsidR="003500C6" w:rsidRPr="00502F97" w:rsidRDefault="003500C6" w:rsidP="00933CBE">
      <w:pPr>
        <w:pStyle w:val="CUERPOTEXTO"/>
        <w:keepLines/>
        <w:rPr>
          <w:rFonts w:ascii="Century Gothic" w:hAnsi="Century Gothic"/>
          <w:sz w:val="20"/>
          <w:szCs w:val="20"/>
        </w:rPr>
      </w:pPr>
    </w:p>
    <w:p w14:paraId="2EAF5F24" w14:textId="77777777" w:rsidR="00933CBE" w:rsidRPr="00502F97" w:rsidRDefault="00933CBE" w:rsidP="00933CBE">
      <w:pPr>
        <w:spacing w:after="0" w:line="0" w:lineRule="auto"/>
        <w:rPr>
          <w:rFonts w:ascii="Century Gothic" w:hAnsi="Century Gothic"/>
          <w:sz w:val="20"/>
          <w:szCs w:val="20"/>
        </w:rPr>
      </w:pPr>
      <w:bookmarkStart w:id="6" w:name="PROJ:1_anexo:1:1:_RC_:3"/>
      <w:bookmarkEnd w:id="6"/>
    </w:p>
    <w:p w14:paraId="18E1C3F1" w14:textId="77777777" w:rsidR="00933CBE" w:rsidRPr="00502F97" w:rsidRDefault="00933CBE" w:rsidP="00933CBE">
      <w:pPr>
        <w:pStyle w:val="CAP3"/>
        <w:keepNext/>
        <w:rPr>
          <w:rFonts w:ascii="Century Gothic" w:hAnsi="Century Gothic"/>
          <w:sz w:val="20"/>
          <w:szCs w:val="20"/>
        </w:rPr>
      </w:pPr>
      <w:r w:rsidRPr="00502F97">
        <w:rPr>
          <w:rFonts w:ascii="Century Gothic" w:hAnsi="Century Gothic"/>
          <w:sz w:val="20"/>
          <w:szCs w:val="20"/>
        </w:rPr>
        <w:lastRenderedPageBreak/>
        <w:t>3. Redes de A.C.S.</w:t>
      </w:r>
    </w:p>
    <w:p w14:paraId="2826C28E" w14:textId="77777777" w:rsidR="00933CBE" w:rsidRPr="00502F97" w:rsidRDefault="00933CBE" w:rsidP="00933CBE">
      <w:pPr>
        <w:spacing w:after="0" w:line="0" w:lineRule="auto"/>
        <w:rPr>
          <w:rFonts w:ascii="Century Gothic" w:hAnsi="Century Gothic"/>
          <w:sz w:val="20"/>
          <w:szCs w:val="20"/>
        </w:rPr>
      </w:pPr>
      <w:bookmarkStart w:id="7" w:name="PROJ:1_anexo:1:1:_RC_:3:1"/>
      <w:bookmarkEnd w:id="7"/>
    </w:p>
    <w:p w14:paraId="7202786E"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t>3.1. Redes de impulsión</w:t>
      </w:r>
    </w:p>
    <w:p w14:paraId="63D312AA"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Para las redes de impulsión o ida de A.C.S. se ha seguido el mismo método de cálculo que para redes de agua fría.</w:t>
      </w:r>
    </w:p>
    <w:p w14:paraId="337FE398" w14:textId="77777777" w:rsidR="00933CBE" w:rsidRPr="00502F97" w:rsidRDefault="00933CBE" w:rsidP="00933CBE">
      <w:pPr>
        <w:spacing w:after="0" w:line="0" w:lineRule="auto"/>
        <w:rPr>
          <w:rFonts w:ascii="Century Gothic" w:hAnsi="Century Gothic"/>
          <w:sz w:val="20"/>
          <w:szCs w:val="20"/>
        </w:rPr>
      </w:pPr>
      <w:bookmarkStart w:id="8" w:name="PROJ:1_anexo:1:1:_RC_:3:2"/>
      <w:bookmarkEnd w:id="8"/>
    </w:p>
    <w:p w14:paraId="4C4AFDE8"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t>3.2. Redes de retorno</w:t>
      </w:r>
    </w:p>
    <w:p w14:paraId="73FB9641"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Para determinar el caudal que circulará por el circuito de retorno, se ha estimado que, en el grifo más alejado, la pérdida de temperatura será como máximo de 3°C desde la salida del acumulador o intercambiador en su caso.</w:t>
      </w:r>
    </w:p>
    <w:p w14:paraId="15C027D0"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 xml:space="preserve">En cualquier </w:t>
      </w:r>
      <w:proofErr w:type="gramStart"/>
      <w:r w:rsidRPr="00502F97">
        <w:rPr>
          <w:rFonts w:ascii="Century Gothic" w:hAnsi="Century Gothic"/>
          <w:sz w:val="20"/>
          <w:szCs w:val="20"/>
        </w:rPr>
        <w:t>caso</w:t>
      </w:r>
      <w:proofErr w:type="gramEnd"/>
      <w:r w:rsidRPr="00502F97">
        <w:rPr>
          <w:rFonts w:ascii="Century Gothic" w:hAnsi="Century Gothic"/>
          <w:sz w:val="20"/>
          <w:szCs w:val="20"/>
        </w:rPr>
        <w:t xml:space="preserve"> no se recircularán menos de 250 l/h en cada columna, si la instalación responde a este esquema, para poder efectuar un adecuado equilibrado hidráulico.</w:t>
      </w:r>
    </w:p>
    <w:p w14:paraId="07C41522"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El caudal de retorno se estima según reglas empíricas de la siguiente forma:</w:t>
      </w:r>
    </w:p>
    <w:p w14:paraId="086B602B" w14:textId="77777777" w:rsidR="00933CBE" w:rsidRPr="00502F97" w:rsidRDefault="00933CBE" w:rsidP="00933CBE">
      <w:pPr>
        <w:pStyle w:val="CUERPOTEXTO"/>
        <w:keepLines/>
        <w:numPr>
          <w:ilvl w:val="0"/>
          <w:numId w:val="3"/>
        </w:numPr>
        <w:rPr>
          <w:rFonts w:ascii="Century Gothic" w:hAnsi="Century Gothic"/>
          <w:sz w:val="20"/>
          <w:szCs w:val="20"/>
        </w:rPr>
      </w:pPr>
      <w:r w:rsidRPr="00502F97">
        <w:rPr>
          <w:rFonts w:ascii="Century Gothic" w:hAnsi="Century Gothic"/>
          <w:sz w:val="20"/>
          <w:szCs w:val="20"/>
        </w:rPr>
        <w:tab/>
        <w:t xml:space="preserve">se considera que recircula el 10% del agua de alimentación, como mínimo. De cualquier </w:t>
      </w:r>
      <w:proofErr w:type="gramStart"/>
      <w:r w:rsidRPr="00502F97">
        <w:rPr>
          <w:rFonts w:ascii="Century Gothic" w:hAnsi="Century Gothic"/>
          <w:sz w:val="20"/>
          <w:szCs w:val="20"/>
        </w:rPr>
        <w:t>forma</w:t>
      </w:r>
      <w:proofErr w:type="gramEnd"/>
      <w:r w:rsidRPr="00502F97">
        <w:rPr>
          <w:rFonts w:ascii="Century Gothic" w:hAnsi="Century Gothic"/>
          <w:sz w:val="20"/>
          <w:szCs w:val="20"/>
        </w:rPr>
        <w:t xml:space="preserve"> se considera que el diámetro interior mínimo de la tubería de retorno es de 16 mm.</w:t>
      </w:r>
    </w:p>
    <w:p w14:paraId="1A55088C" w14:textId="77777777" w:rsidR="00933CBE" w:rsidRPr="00502F97" w:rsidRDefault="00933CBE" w:rsidP="00933CBE">
      <w:pPr>
        <w:pStyle w:val="CUERPOTEXTO"/>
        <w:keepNext/>
        <w:numPr>
          <w:ilvl w:val="0"/>
          <w:numId w:val="3"/>
        </w:numPr>
        <w:rPr>
          <w:rFonts w:ascii="Century Gothic" w:hAnsi="Century Gothic"/>
          <w:sz w:val="20"/>
          <w:szCs w:val="20"/>
        </w:rPr>
      </w:pPr>
      <w:r w:rsidRPr="00502F97">
        <w:rPr>
          <w:rFonts w:ascii="Century Gothic" w:hAnsi="Century Gothic"/>
          <w:sz w:val="20"/>
          <w:szCs w:val="20"/>
        </w:rPr>
        <w:tab/>
        <w:t>los diámetros en función del caudal recirculado se indican en la siguiente tabla:</w:t>
      </w:r>
    </w:p>
    <w:p w14:paraId="4B359BCE"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4A0" w:firstRow="1" w:lastRow="0" w:firstColumn="1" w:lastColumn="0" w:noHBand="0" w:noVBand="1"/>
      </w:tblPr>
      <w:tblGrid>
        <w:gridCol w:w="3791"/>
        <w:gridCol w:w="2705"/>
      </w:tblGrid>
      <w:tr w:rsidR="00933CBE" w:rsidRPr="00502F97" w14:paraId="3D23466B" w14:textId="77777777" w:rsidTr="00933CBE">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62A70979" w14:textId="77777777" w:rsidR="00933CBE" w:rsidRPr="00502F97" w:rsidRDefault="00933CBE">
            <w:pPr>
              <w:pStyle w:val="CUERPOTEXTOTABLA"/>
              <w:spacing w:line="256" w:lineRule="auto"/>
              <w:jc w:val="center"/>
              <w:rPr>
                <w:rFonts w:ascii="Century Gothic" w:hAnsi="Century Gothic"/>
                <w:b/>
                <w:sz w:val="20"/>
                <w:szCs w:val="20"/>
              </w:rPr>
            </w:pPr>
            <w:r w:rsidRPr="00502F97">
              <w:rPr>
                <w:rFonts w:ascii="Century Gothic" w:hAnsi="Century Gothic"/>
                <w:b/>
                <w:sz w:val="20"/>
                <w:szCs w:val="20"/>
              </w:rPr>
              <w:t>Relación entre diámetro de tubería y caudal recirculado de A.C.S.</w:t>
            </w:r>
          </w:p>
        </w:tc>
      </w:tr>
      <w:tr w:rsidR="00933CBE" w:rsidRPr="00502F97" w14:paraId="01FC5ECC" w14:textId="77777777" w:rsidTr="00933CB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D513A16"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Diámetro de la tubería (pulgadas)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02E0EDA"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Caudal recirculado (l/h)</w:t>
            </w:r>
          </w:p>
        </w:tc>
      </w:tr>
      <w:tr w:rsidR="00933CBE" w:rsidRPr="00502F97" w14:paraId="1421DBE9" w14:textId="77777777" w:rsidTr="00933CBE">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49CD61EC"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1/2</w:t>
            </w:r>
          </w:p>
        </w:tc>
        <w:tc>
          <w:tcPr>
            <w:tcW w:w="0" w:type="auto"/>
            <w:tcBorders>
              <w:top w:val="single" w:sz="2" w:space="0" w:color="000000"/>
              <w:left w:val="single" w:sz="2" w:space="0" w:color="000000"/>
              <w:bottom w:val="nil"/>
              <w:right w:val="single" w:sz="2" w:space="0" w:color="000000"/>
            </w:tcBorders>
            <w:noWrap/>
            <w:vAlign w:val="center"/>
            <w:hideMark/>
          </w:tcPr>
          <w:p w14:paraId="67326A38"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140</w:t>
            </w:r>
          </w:p>
        </w:tc>
      </w:tr>
      <w:tr w:rsidR="00933CBE" w:rsidRPr="00502F97" w14:paraId="78039F9D" w14:textId="77777777" w:rsidTr="00933CBE">
        <w:trPr>
          <w:cantSplit/>
          <w:jc w:val="center"/>
        </w:trPr>
        <w:tc>
          <w:tcPr>
            <w:tcW w:w="0" w:type="auto"/>
            <w:tcBorders>
              <w:top w:val="nil"/>
              <w:left w:val="single" w:sz="2" w:space="0" w:color="000000"/>
              <w:bottom w:val="nil"/>
              <w:right w:val="single" w:sz="2" w:space="0" w:color="000000"/>
            </w:tcBorders>
            <w:noWrap/>
            <w:vAlign w:val="center"/>
            <w:hideMark/>
          </w:tcPr>
          <w:p w14:paraId="71FE2CE5"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3/4</w:t>
            </w:r>
          </w:p>
        </w:tc>
        <w:tc>
          <w:tcPr>
            <w:tcW w:w="0" w:type="auto"/>
            <w:tcBorders>
              <w:top w:val="nil"/>
              <w:left w:val="single" w:sz="2" w:space="0" w:color="000000"/>
              <w:bottom w:val="nil"/>
              <w:right w:val="single" w:sz="2" w:space="0" w:color="000000"/>
            </w:tcBorders>
            <w:noWrap/>
            <w:vAlign w:val="center"/>
            <w:hideMark/>
          </w:tcPr>
          <w:p w14:paraId="3F0D3052"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300</w:t>
            </w:r>
          </w:p>
        </w:tc>
      </w:tr>
      <w:tr w:rsidR="00933CBE" w:rsidRPr="00502F97" w14:paraId="42FFC5EE" w14:textId="77777777" w:rsidTr="00933CBE">
        <w:trPr>
          <w:cantSplit/>
          <w:jc w:val="center"/>
        </w:trPr>
        <w:tc>
          <w:tcPr>
            <w:tcW w:w="0" w:type="auto"/>
            <w:tcBorders>
              <w:top w:val="nil"/>
              <w:left w:val="single" w:sz="2" w:space="0" w:color="000000"/>
              <w:bottom w:val="nil"/>
              <w:right w:val="single" w:sz="2" w:space="0" w:color="000000"/>
            </w:tcBorders>
            <w:noWrap/>
            <w:vAlign w:val="center"/>
            <w:hideMark/>
          </w:tcPr>
          <w:p w14:paraId="3E0F4478"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w:t>
            </w:r>
          </w:p>
        </w:tc>
        <w:tc>
          <w:tcPr>
            <w:tcW w:w="0" w:type="auto"/>
            <w:tcBorders>
              <w:top w:val="nil"/>
              <w:left w:val="single" w:sz="2" w:space="0" w:color="000000"/>
              <w:bottom w:val="nil"/>
              <w:right w:val="single" w:sz="2" w:space="0" w:color="000000"/>
            </w:tcBorders>
            <w:noWrap/>
            <w:vAlign w:val="center"/>
            <w:hideMark/>
          </w:tcPr>
          <w:p w14:paraId="6AC281F0"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600</w:t>
            </w:r>
          </w:p>
        </w:tc>
      </w:tr>
      <w:tr w:rsidR="00933CBE" w:rsidRPr="00502F97" w14:paraId="44FE0A6B" w14:textId="77777777" w:rsidTr="00933CBE">
        <w:trPr>
          <w:cantSplit/>
          <w:jc w:val="center"/>
        </w:trPr>
        <w:tc>
          <w:tcPr>
            <w:tcW w:w="0" w:type="auto"/>
            <w:tcBorders>
              <w:top w:val="nil"/>
              <w:left w:val="single" w:sz="2" w:space="0" w:color="000000"/>
              <w:bottom w:val="nil"/>
              <w:right w:val="single" w:sz="2" w:space="0" w:color="000000"/>
            </w:tcBorders>
            <w:vAlign w:val="center"/>
            <w:hideMark/>
          </w:tcPr>
          <w:p w14:paraId="69590AF5"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w:t>
            </w:r>
            <w:r w:rsidRPr="00502F97">
              <w:rPr>
                <w:rFonts w:ascii="Century Gothic" w:hAnsi="Century Gothic"/>
                <w:sz w:val="20"/>
                <w:szCs w:val="20"/>
                <w:vertAlign w:val="superscript"/>
              </w:rPr>
              <w:t>1/4</w:t>
            </w:r>
          </w:p>
        </w:tc>
        <w:tc>
          <w:tcPr>
            <w:tcW w:w="0" w:type="auto"/>
            <w:tcBorders>
              <w:top w:val="nil"/>
              <w:left w:val="single" w:sz="2" w:space="0" w:color="000000"/>
              <w:bottom w:val="nil"/>
              <w:right w:val="single" w:sz="2" w:space="0" w:color="000000"/>
            </w:tcBorders>
            <w:noWrap/>
            <w:vAlign w:val="center"/>
            <w:hideMark/>
          </w:tcPr>
          <w:p w14:paraId="18064E7F"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1100</w:t>
            </w:r>
          </w:p>
        </w:tc>
      </w:tr>
      <w:tr w:rsidR="00933CBE" w:rsidRPr="00502F97" w14:paraId="50AF2833" w14:textId="77777777" w:rsidTr="00933CBE">
        <w:trPr>
          <w:cantSplit/>
          <w:jc w:val="center"/>
        </w:trPr>
        <w:tc>
          <w:tcPr>
            <w:tcW w:w="0" w:type="auto"/>
            <w:tcBorders>
              <w:top w:val="nil"/>
              <w:left w:val="single" w:sz="2" w:space="0" w:color="000000"/>
              <w:bottom w:val="nil"/>
              <w:right w:val="single" w:sz="2" w:space="0" w:color="000000"/>
            </w:tcBorders>
            <w:vAlign w:val="center"/>
            <w:hideMark/>
          </w:tcPr>
          <w:p w14:paraId="60E2921F"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w:t>
            </w:r>
            <w:r w:rsidRPr="00502F97">
              <w:rPr>
                <w:rFonts w:ascii="Century Gothic" w:hAnsi="Century Gothic"/>
                <w:sz w:val="20"/>
                <w:szCs w:val="20"/>
                <w:vertAlign w:val="superscript"/>
              </w:rPr>
              <w:t>1/2</w:t>
            </w:r>
          </w:p>
        </w:tc>
        <w:tc>
          <w:tcPr>
            <w:tcW w:w="0" w:type="auto"/>
            <w:tcBorders>
              <w:top w:val="nil"/>
              <w:left w:val="single" w:sz="2" w:space="0" w:color="000000"/>
              <w:bottom w:val="nil"/>
              <w:right w:val="single" w:sz="2" w:space="0" w:color="000000"/>
            </w:tcBorders>
            <w:noWrap/>
            <w:vAlign w:val="center"/>
            <w:hideMark/>
          </w:tcPr>
          <w:p w14:paraId="6F0C94A3"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1800</w:t>
            </w:r>
          </w:p>
        </w:tc>
      </w:tr>
      <w:tr w:rsidR="00933CBE" w:rsidRPr="00502F97" w14:paraId="71BB41BF" w14:textId="77777777" w:rsidTr="00933CBE">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6AA61773"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2</w:t>
            </w:r>
          </w:p>
        </w:tc>
        <w:tc>
          <w:tcPr>
            <w:tcW w:w="0" w:type="auto"/>
            <w:tcBorders>
              <w:top w:val="nil"/>
              <w:left w:val="single" w:sz="2" w:space="0" w:color="000000"/>
              <w:bottom w:val="single" w:sz="2" w:space="0" w:color="000000"/>
              <w:right w:val="single" w:sz="2" w:space="0" w:color="000000"/>
            </w:tcBorders>
            <w:noWrap/>
            <w:vAlign w:val="center"/>
            <w:hideMark/>
          </w:tcPr>
          <w:p w14:paraId="00DE7857" w14:textId="77777777" w:rsidR="00933CBE" w:rsidRPr="00502F97" w:rsidRDefault="00933CBE">
            <w:pPr>
              <w:pStyle w:val="CUERPOTEXTOTABLA"/>
              <w:spacing w:line="256" w:lineRule="auto"/>
              <w:jc w:val="center"/>
              <w:rPr>
                <w:rFonts w:ascii="Century Gothic" w:hAnsi="Century Gothic"/>
                <w:sz w:val="20"/>
                <w:szCs w:val="20"/>
              </w:rPr>
            </w:pPr>
            <w:r w:rsidRPr="00502F97">
              <w:rPr>
                <w:rFonts w:ascii="Century Gothic" w:hAnsi="Century Gothic"/>
                <w:sz w:val="20"/>
                <w:szCs w:val="20"/>
              </w:rPr>
              <w:t>3300</w:t>
            </w:r>
          </w:p>
        </w:tc>
      </w:tr>
    </w:tbl>
    <w:p w14:paraId="37D639AB" w14:textId="77777777" w:rsidR="00933CBE" w:rsidRPr="00502F97" w:rsidRDefault="00933CBE" w:rsidP="00933CBE">
      <w:pPr>
        <w:spacing w:after="0" w:line="0" w:lineRule="auto"/>
        <w:rPr>
          <w:rFonts w:ascii="Century Gothic" w:hAnsi="Century Gothic"/>
          <w:sz w:val="20"/>
          <w:szCs w:val="20"/>
        </w:rPr>
      </w:pPr>
    </w:p>
    <w:p w14:paraId="306F2F1C"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 xml:space="preserve"> </w:t>
      </w:r>
    </w:p>
    <w:p w14:paraId="346F24C8" w14:textId="77777777" w:rsidR="00933CBE" w:rsidRPr="00502F97" w:rsidRDefault="00933CBE" w:rsidP="00933CBE">
      <w:pPr>
        <w:spacing w:after="0" w:line="0" w:lineRule="auto"/>
        <w:rPr>
          <w:rFonts w:ascii="Century Gothic" w:hAnsi="Century Gothic"/>
          <w:sz w:val="20"/>
          <w:szCs w:val="20"/>
        </w:rPr>
      </w:pPr>
      <w:bookmarkStart w:id="9" w:name="PROJ:1_anexo:1:1:_RC_:3:3"/>
      <w:bookmarkEnd w:id="9"/>
    </w:p>
    <w:p w14:paraId="26E2DDCE"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t>3.3. Aislamiento térmico</w:t>
      </w:r>
    </w:p>
    <w:p w14:paraId="6863F6CF"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 xml:space="preserve">El espesor del aislamiento de las conducciones, tanto en la ida como en el retorno, se ha dimensionado </w:t>
      </w:r>
      <w:proofErr w:type="gramStart"/>
      <w:r w:rsidRPr="00502F97">
        <w:rPr>
          <w:rFonts w:ascii="Century Gothic" w:hAnsi="Century Gothic"/>
          <w:sz w:val="20"/>
          <w:szCs w:val="20"/>
        </w:rPr>
        <w:t>de acuerdo a</w:t>
      </w:r>
      <w:proofErr w:type="gramEnd"/>
      <w:r w:rsidRPr="00502F97">
        <w:rPr>
          <w:rFonts w:ascii="Century Gothic" w:hAnsi="Century Gothic"/>
          <w:sz w:val="20"/>
          <w:szCs w:val="20"/>
        </w:rPr>
        <w:t xml:space="preserve"> lo indicado en el 'Reglamento de Instalaciones Térmicas en los Edificios (RITE)' y sus 'Instrucciones Técnicas complementarias (ITE)'.</w:t>
      </w:r>
    </w:p>
    <w:p w14:paraId="5E004E45" w14:textId="77777777" w:rsidR="00933CBE" w:rsidRPr="00502F97" w:rsidRDefault="00933CBE" w:rsidP="00933CBE">
      <w:pPr>
        <w:spacing w:after="0" w:line="0" w:lineRule="auto"/>
        <w:rPr>
          <w:rFonts w:ascii="Century Gothic" w:hAnsi="Century Gothic"/>
          <w:sz w:val="20"/>
          <w:szCs w:val="20"/>
        </w:rPr>
      </w:pPr>
      <w:bookmarkStart w:id="10" w:name="PROJ:1_anexo:1:1:_RC_:3:4"/>
      <w:bookmarkEnd w:id="10"/>
    </w:p>
    <w:p w14:paraId="4CC79C8F"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t>3.4. Dilatadores</w:t>
      </w:r>
    </w:p>
    <w:p w14:paraId="20CDFE95"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Para los materiales metálicos se ha aplicado lo especificado en la norma UNE 100 156:1989 y para los materiales termoplásticos lo indicado en la norma UNE ENV 12 108:2002.</w:t>
      </w:r>
    </w:p>
    <w:p w14:paraId="19AC4B6F"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En todo tramo recto sin conexiones intermedias con una longitud superior a 25 m se deben adoptar las medidas oportunas para evitar posibles tensiones excesivas de la tubería, motivadas por las contracciones y dilataciones producidas por las variaciones de temperatura. El mejor punto para colocarlos se encuentra equidistante de las derivaciones más próximas en los montantes.</w:t>
      </w:r>
    </w:p>
    <w:p w14:paraId="01D6A8BC" w14:textId="77777777" w:rsidR="00933CBE" w:rsidRPr="00502F97" w:rsidRDefault="00933CBE" w:rsidP="00933CBE">
      <w:pPr>
        <w:spacing w:after="0" w:line="0" w:lineRule="auto"/>
        <w:rPr>
          <w:rFonts w:ascii="Century Gothic" w:hAnsi="Century Gothic"/>
          <w:sz w:val="20"/>
          <w:szCs w:val="20"/>
        </w:rPr>
      </w:pPr>
      <w:bookmarkStart w:id="11" w:name="PROJ:1_anexo:1:1:_RC_:4"/>
      <w:bookmarkEnd w:id="11"/>
    </w:p>
    <w:p w14:paraId="2313EBBF" w14:textId="77777777" w:rsidR="00933CBE" w:rsidRPr="00502F97" w:rsidRDefault="00933CBE" w:rsidP="00933CBE">
      <w:pPr>
        <w:pStyle w:val="CAP3"/>
        <w:keepNext/>
        <w:rPr>
          <w:rFonts w:ascii="Century Gothic" w:hAnsi="Century Gothic"/>
          <w:sz w:val="20"/>
          <w:szCs w:val="20"/>
        </w:rPr>
      </w:pPr>
      <w:r w:rsidRPr="00502F97">
        <w:rPr>
          <w:rFonts w:ascii="Century Gothic" w:hAnsi="Century Gothic"/>
          <w:sz w:val="20"/>
          <w:szCs w:val="20"/>
        </w:rPr>
        <w:t>4. Equipos, elementos y dispositivos de la instalación</w:t>
      </w:r>
    </w:p>
    <w:p w14:paraId="4E47C1C0" w14:textId="77777777" w:rsidR="00933CBE" w:rsidRPr="00502F97" w:rsidRDefault="00933CBE" w:rsidP="00933CBE">
      <w:pPr>
        <w:spacing w:after="0" w:line="0" w:lineRule="auto"/>
        <w:rPr>
          <w:rFonts w:ascii="Century Gothic" w:hAnsi="Century Gothic"/>
          <w:sz w:val="20"/>
          <w:szCs w:val="20"/>
        </w:rPr>
      </w:pPr>
      <w:bookmarkStart w:id="12" w:name="PROJ:1_anexo:1:1:_RC_:4:1"/>
      <w:bookmarkEnd w:id="12"/>
    </w:p>
    <w:p w14:paraId="31E0B88B"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t>4.1. Contadores</w:t>
      </w:r>
    </w:p>
    <w:p w14:paraId="15148584"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El calibre nominal de los distintos tipos de contadores se adecuará, tanto en agua fría como caliente, a los caudales nominales y máximos de la instalación.</w:t>
      </w:r>
    </w:p>
    <w:p w14:paraId="4F52C456" w14:textId="77777777" w:rsidR="00933CBE" w:rsidRPr="00502F97" w:rsidRDefault="00933CBE" w:rsidP="00933CBE">
      <w:pPr>
        <w:spacing w:after="0" w:line="0" w:lineRule="auto"/>
        <w:rPr>
          <w:rFonts w:ascii="Century Gothic" w:hAnsi="Century Gothic"/>
          <w:sz w:val="20"/>
          <w:szCs w:val="20"/>
        </w:rPr>
      </w:pPr>
      <w:bookmarkStart w:id="13" w:name="PROJ:1_anexo:1:1:_RC_:4:2"/>
      <w:bookmarkEnd w:id="13"/>
    </w:p>
    <w:p w14:paraId="3542F79A" w14:textId="77777777" w:rsidR="00933CBE" w:rsidRPr="00502F97" w:rsidRDefault="00933CBE" w:rsidP="00933CBE">
      <w:pPr>
        <w:pStyle w:val="CAP4"/>
        <w:keepNext/>
        <w:rPr>
          <w:rFonts w:ascii="Century Gothic" w:hAnsi="Century Gothic"/>
          <w:sz w:val="20"/>
          <w:szCs w:val="20"/>
        </w:rPr>
      </w:pPr>
      <w:r w:rsidRPr="00502F97">
        <w:rPr>
          <w:rFonts w:ascii="Century Gothic" w:hAnsi="Century Gothic"/>
          <w:sz w:val="20"/>
          <w:szCs w:val="20"/>
        </w:rPr>
        <w:lastRenderedPageBreak/>
        <w:t>4.2. Grupo de presión</w:t>
      </w:r>
    </w:p>
    <w:p w14:paraId="6521990C" w14:textId="77777777" w:rsidR="00933CBE" w:rsidRPr="00502F97" w:rsidRDefault="00933CBE" w:rsidP="00933CBE">
      <w:pPr>
        <w:pStyle w:val="CUERPOTEXTO"/>
        <w:keepNext/>
        <w:rPr>
          <w:rFonts w:ascii="Century Gothic" w:hAnsi="Century Gothic"/>
          <w:b/>
          <w:sz w:val="20"/>
          <w:szCs w:val="20"/>
        </w:rPr>
      </w:pPr>
      <w:r w:rsidRPr="00502F97">
        <w:rPr>
          <w:rFonts w:ascii="Century Gothic" w:hAnsi="Century Gothic"/>
          <w:b/>
          <w:sz w:val="20"/>
          <w:szCs w:val="20"/>
        </w:rPr>
        <w:t>Cálculo del depósito auxiliar de alimentación</w:t>
      </w:r>
    </w:p>
    <w:p w14:paraId="54F953D9"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El volumen del depósito se ha calculado en función del tiempo previsto de utilización, aplicando la siguiente expresión:</w:t>
      </w:r>
    </w:p>
    <w:p w14:paraId="70C3C4F1" w14:textId="7D0D0EDC" w:rsidR="00933CBE" w:rsidRPr="00502F97" w:rsidRDefault="00933CBE" w:rsidP="003500C6">
      <w:pPr>
        <w:pStyle w:val="CUERPOTEXTO"/>
        <w:keepNext/>
        <w:spacing w:after="0"/>
        <w:jc w:val="center"/>
        <w:rPr>
          <w:rFonts w:ascii="Century Gothic" w:hAnsi="Century Gothic"/>
          <w:sz w:val="20"/>
          <w:szCs w:val="20"/>
        </w:rPr>
      </w:pPr>
      <w:r w:rsidRPr="00502F97">
        <w:rPr>
          <w:rFonts w:ascii="Century Gothic" w:hAnsi="Century Gothic"/>
          <w:noProof/>
          <w:sz w:val="20"/>
          <w:szCs w:val="20"/>
        </w:rPr>
        <w:drawing>
          <wp:inline distT="0" distB="0" distL="0" distR="0" wp14:anchorId="685639AB" wp14:editId="62131DC4">
            <wp:extent cx="676275" cy="2095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p>
    <w:p w14:paraId="1339B08E" w14:textId="5CD09CFB" w:rsidR="00933CBE" w:rsidRPr="00502F97" w:rsidRDefault="00933CBE" w:rsidP="003500C6">
      <w:pPr>
        <w:pStyle w:val="CUERPOTEXTO"/>
        <w:keepNext/>
        <w:spacing w:after="0"/>
        <w:rPr>
          <w:rFonts w:ascii="Century Gothic" w:hAnsi="Century Gothic"/>
          <w:sz w:val="20"/>
          <w:szCs w:val="20"/>
        </w:rPr>
      </w:pPr>
      <w:r w:rsidRPr="00502F97">
        <w:rPr>
          <w:rFonts w:ascii="Century Gothic" w:hAnsi="Century Gothic"/>
          <w:sz w:val="20"/>
          <w:szCs w:val="20"/>
        </w:rPr>
        <w:t>siendo:</w:t>
      </w:r>
    </w:p>
    <w:p w14:paraId="2736E718" w14:textId="77777777" w:rsidR="00933CBE" w:rsidRPr="00502F97" w:rsidRDefault="00933CBE" w:rsidP="00933CBE">
      <w:pPr>
        <w:pStyle w:val="CUERPOTEXTO"/>
        <w:ind w:left="283"/>
        <w:rPr>
          <w:rFonts w:ascii="Century Gothic" w:hAnsi="Century Gothic"/>
          <w:sz w:val="20"/>
          <w:szCs w:val="20"/>
        </w:rPr>
      </w:pPr>
      <w:r w:rsidRPr="00502F97">
        <w:rPr>
          <w:rFonts w:ascii="Century Gothic" w:hAnsi="Century Gothic"/>
          <w:sz w:val="20"/>
          <w:szCs w:val="20"/>
        </w:rPr>
        <w:t>V: Volumen del depósito [l]</w:t>
      </w:r>
    </w:p>
    <w:p w14:paraId="004C3D58" w14:textId="77777777" w:rsidR="00933CBE" w:rsidRPr="00502F97" w:rsidRDefault="00933CBE" w:rsidP="00933CBE">
      <w:pPr>
        <w:pStyle w:val="CUERPOTEXTO"/>
        <w:ind w:left="283"/>
        <w:rPr>
          <w:rFonts w:ascii="Century Gothic" w:hAnsi="Century Gothic"/>
          <w:sz w:val="20"/>
          <w:szCs w:val="20"/>
        </w:rPr>
      </w:pPr>
      <w:r w:rsidRPr="00502F97">
        <w:rPr>
          <w:rFonts w:ascii="Century Gothic" w:hAnsi="Century Gothic"/>
          <w:sz w:val="20"/>
          <w:szCs w:val="20"/>
        </w:rPr>
        <w:t>Q: Caudal máximo simultáneo [dm</w:t>
      </w:r>
      <w:r w:rsidRPr="00502F97">
        <w:rPr>
          <w:rFonts w:ascii="Century Gothic" w:hAnsi="Century Gothic"/>
          <w:sz w:val="20"/>
          <w:szCs w:val="20"/>
          <w:vertAlign w:val="superscript"/>
        </w:rPr>
        <w:t>3</w:t>
      </w:r>
      <w:r w:rsidRPr="00502F97">
        <w:rPr>
          <w:rFonts w:ascii="Century Gothic" w:hAnsi="Century Gothic"/>
          <w:sz w:val="20"/>
          <w:szCs w:val="20"/>
        </w:rPr>
        <w:t>/s]</w:t>
      </w:r>
    </w:p>
    <w:p w14:paraId="07DA003C" w14:textId="77777777" w:rsidR="00933CBE" w:rsidRPr="00502F97" w:rsidRDefault="00933CBE" w:rsidP="00933CBE">
      <w:pPr>
        <w:pStyle w:val="CUERPOTEXTO"/>
        <w:ind w:left="283"/>
        <w:rPr>
          <w:rFonts w:ascii="Century Gothic" w:hAnsi="Century Gothic"/>
          <w:sz w:val="20"/>
          <w:szCs w:val="20"/>
        </w:rPr>
      </w:pPr>
      <w:r w:rsidRPr="00502F97">
        <w:rPr>
          <w:rFonts w:ascii="Century Gothic" w:hAnsi="Century Gothic"/>
          <w:sz w:val="20"/>
          <w:szCs w:val="20"/>
        </w:rPr>
        <w:t>t: Tiempo estimado (de 15 a 20) [min.]</w:t>
      </w:r>
    </w:p>
    <w:p w14:paraId="47711E95" w14:textId="1155FCF2" w:rsidR="00933CBE" w:rsidRPr="00502F97" w:rsidRDefault="00933CBE" w:rsidP="003500C6">
      <w:pPr>
        <w:pStyle w:val="CUERPOTEXTO"/>
        <w:keepLines/>
        <w:rPr>
          <w:rFonts w:ascii="Century Gothic" w:hAnsi="Century Gothic"/>
          <w:sz w:val="20"/>
          <w:szCs w:val="20"/>
        </w:rPr>
      </w:pPr>
      <w:r w:rsidRPr="00502F97">
        <w:rPr>
          <w:rFonts w:ascii="Century Gothic" w:hAnsi="Century Gothic"/>
          <w:sz w:val="20"/>
          <w:szCs w:val="20"/>
        </w:rPr>
        <w:t xml:space="preserve"> </w:t>
      </w:r>
    </w:p>
    <w:p w14:paraId="59AF03EF" w14:textId="77777777" w:rsidR="00933CBE" w:rsidRPr="00502F97" w:rsidRDefault="00933CBE" w:rsidP="00933CBE">
      <w:pPr>
        <w:pStyle w:val="CUERPOTEXTO"/>
        <w:keepNext/>
        <w:rPr>
          <w:rFonts w:ascii="Century Gothic" w:hAnsi="Century Gothic"/>
          <w:b/>
          <w:sz w:val="20"/>
          <w:szCs w:val="20"/>
        </w:rPr>
      </w:pPr>
      <w:r w:rsidRPr="00502F97">
        <w:rPr>
          <w:rFonts w:ascii="Century Gothic" w:hAnsi="Century Gothic"/>
          <w:b/>
          <w:sz w:val="20"/>
          <w:szCs w:val="20"/>
        </w:rPr>
        <w:t>Cálculo de las bombas</w:t>
      </w:r>
    </w:p>
    <w:p w14:paraId="2A36BE71"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El cálculo de las bombas se ha realizado en función del caudal y de las presiones de arranque y parada de la bomba (mínima y máxima respectivamente), siempre que no se instalen bombas de caudal variable. En este segundo caso, la presión es función del caudal solicitado en cada momento y siempre constante.</w:t>
      </w:r>
    </w:p>
    <w:p w14:paraId="1134CDFE"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El número de bombas a instalar en el caso de un grupo de tipo convencional, excluyendo las de reserva, se ha determinado en función del caudal total del grupo. Se dispondrán dos bombas para caudales de hasta 10 dm</w:t>
      </w:r>
      <w:r w:rsidRPr="00502F97">
        <w:rPr>
          <w:rFonts w:ascii="Century Gothic" w:hAnsi="Century Gothic"/>
          <w:sz w:val="20"/>
          <w:szCs w:val="20"/>
          <w:vertAlign w:val="superscript"/>
        </w:rPr>
        <w:t>3</w:t>
      </w:r>
      <w:r w:rsidRPr="00502F97">
        <w:rPr>
          <w:rFonts w:ascii="Century Gothic" w:hAnsi="Century Gothic"/>
          <w:sz w:val="20"/>
          <w:szCs w:val="20"/>
        </w:rPr>
        <w:t>/s, tres para caudales de hasta 30 dm</w:t>
      </w:r>
      <w:r w:rsidRPr="00502F97">
        <w:rPr>
          <w:rFonts w:ascii="Century Gothic" w:hAnsi="Century Gothic"/>
          <w:sz w:val="20"/>
          <w:szCs w:val="20"/>
          <w:vertAlign w:val="superscript"/>
        </w:rPr>
        <w:t>3</w:t>
      </w:r>
      <w:r w:rsidRPr="00502F97">
        <w:rPr>
          <w:rFonts w:ascii="Century Gothic" w:hAnsi="Century Gothic"/>
          <w:sz w:val="20"/>
          <w:szCs w:val="20"/>
        </w:rPr>
        <w:t>/s y cuatro para más de 30 dm</w:t>
      </w:r>
      <w:r w:rsidRPr="00502F97">
        <w:rPr>
          <w:rFonts w:ascii="Century Gothic" w:hAnsi="Century Gothic"/>
          <w:sz w:val="20"/>
          <w:szCs w:val="20"/>
          <w:vertAlign w:val="superscript"/>
        </w:rPr>
        <w:t>3</w:t>
      </w:r>
      <w:r w:rsidRPr="00502F97">
        <w:rPr>
          <w:rFonts w:ascii="Century Gothic" w:hAnsi="Century Gothic"/>
          <w:sz w:val="20"/>
          <w:szCs w:val="20"/>
        </w:rPr>
        <w:t>/s.</w:t>
      </w:r>
    </w:p>
    <w:p w14:paraId="31CF540E"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El caudal de las bombas es el máximo simultáneo de la instalación o caudal punta y es fijado por el uso y necesidades de la instalación.</w:t>
      </w:r>
    </w:p>
    <w:p w14:paraId="79D85B33"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 xml:space="preserve">La presión mínima o de arranque (Pb) es el resultado de sumar la altura geométrica de aspiración (Ha), la altura geométrica (Hg), la pérdida de carga del circuito (Pc) y la presión residual en el grifo, llave o </w:t>
      </w:r>
      <w:proofErr w:type="spellStart"/>
      <w:r w:rsidRPr="00502F97">
        <w:rPr>
          <w:rFonts w:ascii="Century Gothic" w:hAnsi="Century Gothic"/>
          <w:sz w:val="20"/>
          <w:szCs w:val="20"/>
        </w:rPr>
        <w:t>fluxor</w:t>
      </w:r>
      <w:proofErr w:type="spellEnd"/>
      <w:r w:rsidRPr="00502F97">
        <w:rPr>
          <w:rFonts w:ascii="Century Gothic" w:hAnsi="Century Gothic"/>
          <w:sz w:val="20"/>
          <w:szCs w:val="20"/>
        </w:rPr>
        <w:t xml:space="preserve"> (Pr).</w:t>
      </w:r>
    </w:p>
    <w:p w14:paraId="7C2FA39E"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4AA4DA69" w14:textId="77777777" w:rsidR="00933CBE" w:rsidRPr="00502F97" w:rsidRDefault="00933CBE" w:rsidP="00933CBE">
      <w:pPr>
        <w:pStyle w:val="CUERPOTEXTO"/>
        <w:keepNext/>
        <w:rPr>
          <w:rFonts w:ascii="Century Gothic" w:hAnsi="Century Gothic"/>
          <w:b/>
          <w:sz w:val="20"/>
          <w:szCs w:val="20"/>
        </w:rPr>
      </w:pPr>
      <w:r w:rsidRPr="00502F97">
        <w:rPr>
          <w:rFonts w:ascii="Century Gothic" w:hAnsi="Century Gothic"/>
          <w:b/>
          <w:sz w:val="20"/>
          <w:szCs w:val="20"/>
        </w:rPr>
        <w:t>Cálculo del depósito de presión</w:t>
      </w:r>
    </w:p>
    <w:p w14:paraId="315BCB48" w14:textId="77777777" w:rsidR="00933CBE" w:rsidRPr="00502F97" w:rsidRDefault="00933CBE" w:rsidP="00933CBE">
      <w:pPr>
        <w:pStyle w:val="CUERPOTEXTO"/>
        <w:keepLines/>
        <w:rPr>
          <w:rFonts w:ascii="Century Gothic" w:hAnsi="Century Gothic"/>
          <w:sz w:val="20"/>
          <w:szCs w:val="20"/>
        </w:rPr>
      </w:pPr>
      <w:r w:rsidRPr="00502F97">
        <w:rPr>
          <w:rFonts w:ascii="Century Gothic" w:hAnsi="Century Gothic"/>
          <w:sz w:val="20"/>
          <w:szCs w:val="20"/>
        </w:rPr>
        <w:t>Para la presión máxima se ha adoptado un valor que limita el número de arranques y paradas del grupo prolongando de esta manera la vida útil del mismo. Este valor está comprendido entre 2 y 3 bar por encima del valor de la presión mínima.</w:t>
      </w:r>
    </w:p>
    <w:p w14:paraId="29925A88" w14:textId="77777777" w:rsidR="00933CBE" w:rsidRPr="00502F97" w:rsidRDefault="00933CBE" w:rsidP="00933CBE">
      <w:pPr>
        <w:pStyle w:val="CUERPOTEXTO"/>
        <w:keepNext/>
        <w:rPr>
          <w:rFonts w:ascii="Century Gothic" w:hAnsi="Century Gothic"/>
          <w:sz w:val="20"/>
          <w:szCs w:val="20"/>
        </w:rPr>
      </w:pPr>
      <w:r w:rsidRPr="00502F97">
        <w:rPr>
          <w:rFonts w:ascii="Century Gothic" w:hAnsi="Century Gothic"/>
          <w:sz w:val="20"/>
          <w:szCs w:val="20"/>
        </w:rPr>
        <w:t>El cálculo de su volumen se ha realizado con la fórmula siguiente:</w:t>
      </w:r>
    </w:p>
    <w:p w14:paraId="3706CC72" w14:textId="42E65920" w:rsidR="00933CBE" w:rsidRPr="00502F97" w:rsidRDefault="00933CBE" w:rsidP="003500C6">
      <w:pPr>
        <w:pStyle w:val="CUERPOTEXTO"/>
        <w:keepNext/>
        <w:spacing w:after="0"/>
        <w:jc w:val="center"/>
        <w:rPr>
          <w:rFonts w:ascii="Century Gothic" w:hAnsi="Century Gothic"/>
          <w:sz w:val="20"/>
          <w:szCs w:val="20"/>
        </w:rPr>
      </w:pPr>
      <w:r w:rsidRPr="00502F97">
        <w:rPr>
          <w:rFonts w:ascii="Century Gothic" w:hAnsi="Century Gothic"/>
          <w:noProof/>
          <w:sz w:val="20"/>
          <w:szCs w:val="20"/>
        </w:rPr>
        <w:drawing>
          <wp:inline distT="0" distB="0" distL="0" distR="0" wp14:anchorId="4EEF382D" wp14:editId="6CCE1FE5">
            <wp:extent cx="1095375" cy="180975"/>
            <wp:effectExtent l="0" t="0" r="9525" b="9525"/>
            <wp:docPr id="1" name="Imagen 1" descr="image7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77.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p w14:paraId="1ADDFBAC" w14:textId="77777777" w:rsidR="00933CBE" w:rsidRPr="00502F97" w:rsidRDefault="00933CBE" w:rsidP="00933CBE">
      <w:pPr>
        <w:pStyle w:val="CUERPOTEXTO"/>
        <w:keepNext/>
        <w:spacing w:after="0"/>
        <w:rPr>
          <w:rFonts w:ascii="Century Gothic" w:hAnsi="Century Gothic"/>
          <w:sz w:val="20"/>
          <w:szCs w:val="20"/>
        </w:rPr>
      </w:pPr>
      <w:r w:rsidRPr="00502F97">
        <w:rPr>
          <w:rFonts w:ascii="Century Gothic" w:hAnsi="Century Gothic"/>
          <w:sz w:val="20"/>
          <w:szCs w:val="20"/>
        </w:rPr>
        <w:t>siendo:</w:t>
      </w:r>
    </w:p>
    <w:p w14:paraId="510CA92F" w14:textId="77777777" w:rsidR="00933CBE" w:rsidRPr="00502F97" w:rsidRDefault="00933CBE" w:rsidP="00933CBE">
      <w:pPr>
        <w:pStyle w:val="CUERPOTEXTO"/>
        <w:rPr>
          <w:rFonts w:ascii="Century Gothic" w:hAnsi="Century Gothic"/>
          <w:sz w:val="20"/>
          <w:szCs w:val="20"/>
        </w:rPr>
      </w:pPr>
      <w:r w:rsidRPr="00502F97">
        <w:rPr>
          <w:rFonts w:ascii="Century Gothic" w:hAnsi="Century Gothic"/>
          <w:sz w:val="20"/>
          <w:szCs w:val="20"/>
        </w:rPr>
        <w:t xml:space="preserve"> </w:t>
      </w:r>
    </w:p>
    <w:p w14:paraId="6DC356A6" w14:textId="77777777" w:rsidR="00933CBE" w:rsidRPr="00502F97" w:rsidRDefault="00933CBE" w:rsidP="00933CBE">
      <w:pPr>
        <w:pStyle w:val="CUERPOTEXTO"/>
        <w:ind w:left="283"/>
        <w:rPr>
          <w:rFonts w:ascii="Century Gothic" w:hAnsi="Century Gothic"/>
          <w:sz w:val="20"/>
          <w:szCs w:val="20"/>
        </w:rPr>
      </w:pPr>
      <w:proofErr w:type="spellStart"/>
      <w:r w:rsidRPr="00502F97">
        <w:rPr>
          <w:rFonts w:ascii="Century Gothic" w:hAnsi="Century Gothic"/>
          <w:sz w:val="20"/>
          <w:szCs w:val="20"/>
        </w:rPr>
        <w:t>Vn</w:t>
      </w:r>
      <w:proofErr w:type="spellEnd"/>
      <w:r w:rsidRPr="00502F97">
        <w:rPr>
          <w:rFonts w:ascii="Century Gothic" w:hAnsi="Century Gothic"/>
          <w:sz w:val="20"/>
          <w:szCs w:val="20"/>
        </w:rPr>
        <w:t>: Volumen útil del depósito de membrana [l]</w:t>
      </w:r>
    </w:p>
    <w:p w14:paraId="79E011B1" w14:textId="77777777" w:rsidR="00933CBE" w:rsidRPr="00502F97" w:rsidRDefault="00933CBE" w:rsidP="00933CBE">
      <w:pPr>
        <w:pStyle w:val="CUERPOTEXTO"/>
        <w:ind w:left="283"/>
        <w:rPr>
          <w:rFonts w:ascii="Century Gothic" w:hAnsi="Century Gothic"/>
          <w:sz w:val="20"/>
          <w:szCs w:val="20"/>
        </w:rPr>
      </w:pPr>
      <w:r w:rsidRPr="00502F97">
        <w:rPr>
          <w:rFonts w:ascii="Century Gothic" w:hAnsi="Century Gothic"/>
          <w:sz w:val="20"/>
          <w:szCs w:val="20"/>
        </w:rPr>
        <w:t>Pb: Presión absoluta mínima [</w:t>
      </w:r>
      <w:proofErr w:type="spellStart"/>
      <w:r w:rsidRPr="00502F97">
        <w:rPr>
          <w:rFonts w:ascii="Century Gothic" w:hAnsi="Century Gothic"/>
          <w:sz w:val="20"/>
          <w:szCs w:val="20"/>
        </w:rPr>
        <w:t>m.c.a</w:t>
      </w:r>
      <w:proofErr w:type="spellEnd"/>
      <w:r w:rsidRPr="00502F97">
        <w:rPr>
          <w:rFonts w:ascii="Century Gothic" w:hAnsi="Century Gothic"/>
          <w:sz w:val="20"/>
          <w:szCs w:val="20"/>
        </w:rPr>
        <w:t>.]</w:t>
      </w:r>
    </w:p>
    <w:p w14:paraId="2413A904" w14:textId="77777777" w:rsidR="00933CBE" w:rsidRPr="00502F97" w:rsidRDefault="00933CBE" w:rsidP="00933CBE">
      <w:pPr>
        <w:pStyle w:val="CUERPOTEXTO"/>
        <w:ind w:left="283"/>
        <w:rPr>
          <w:rFonts w:ascii="Century Gothic" w:hAnsi="Century Gothic"/>
          <w:sz w:val="20"/>
          <w:szCs w:val="20"/>
        </w:rPr>
      </w:pPr>
      <w:r w:rsidRPr="00502F97">
        <w:rPr>
          <w:rFonts w:ascii="Century Gothic" w:hAnsi="Century Gothic"/>
          <w:sz w:val="20"/>
          <w:szCs w:val="20"/>
        </w:rPr>
        <w:t>Va: Volumen mínimo de agua [l]</w:t>
      </w:r>
    </w:p>
    <w:p w14:paraId="2147BFB8" w14:textId="77777777" w:rsidR="00933CBE" w:rsidRPr="00502F97" w:rsidRDefault="00933CBE" w:rsidP="00933CBE">
      <w:pPr>
        <w:pStyle w:val="CUERPOTEXTO"/>
        <w:ind w:left="283"/>
        <w:rPr>
          <w:rFonts w:ascii="Century Gothic" w:hAnsi="Century Gothic"/>
          <w:sz w:val="20"/>
          <w:szCs w:val="20"/>
        </w:rPr>
      </w:pPr>
      <w:proofErr w:type="spellStart"/>
      <w:r w:rsidRPr="00502F97">
        <w:rPr>
          <w:rFonts w:ascii="Century Gothic" w:hAnsi="Century Gothic"/>
          <w:sz w:val="20"/>
          <w:szCs w:val="20"/>
        </w:rPr>
        <w:t>Pa</w:t>
      </w:r>
      <w:proofErr w:type="spellEnd"/>
      <w:r w:rsidRPr="00502F97">
        <w:rPr>
          <w:rFonts w:ascii="Century Gothic" w:hAnsi="Century Gothic"/>
          <w:sz w:val="20"/>
          <w:szCs w:val="20"/>
        </w:rPr>
        <w:t>: Presión absoluta máxima [</w:t>
      </w:r>
      <w:proofErr w:type="spellStart"/>
      <w:r w:rsidRPr="00502F97">
        <w:rPr>
          <w:rFonts w:ascii="Century Gothic" w:hAnsi="Century Gothic"/>
          <w:sz w:val="20"/>
          <w:szCs w:val="20"/>
        </w:rPr>
        <w:t>m.c.a</w:t>
      </w:r>
      <w:proofErr w:type="spellEnd"/>
      <w:r w:rsidRPr="00502F97">
        <w:rPr>
          <w:rFonts w:ascii="Century Gothic" w:hAnsi="Century Gothic"/>
          <w:sz w:val="20"/>
          <w:szCs w:val="20"/>
        </w:rPr>
        <w:t>.]</w:t>
      </w:r>
    </w:p>
    <w:p w14:paraId="7A9738C0" w14:textId="77777777" w:rsidR="00933CBE" w:rsidRDefault="00933CBE" w:rsidP="00933CBE"/>
    <w:sectPr w:rsidR="00933CBE" w:rsidSect="00CD4D2C">
      <w:headerReference w:type="default" r:id="rId16"/>
      <w:footerReference w:type="default" r:id="rId17"/>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4A370" w14:textId="77777777" w:rsidR="00265922" w:rsidRDefault="00265922" w:rsidP="00B27110">
      <w:pPr>
        <w:spacing w:after="0" w:line="240" w:lineRule="auto"/>
      </w:pPr>
      <w:r>
        <w:separator/>
      </w:r>
    </w:p>
  </w:endnote>
  <w:endnote w:type="continuationSeparator" w:id="0">
    <w:p w14:paraId="4C03679C" w14:textId="77777777" w:rsidR="00265922" w:rsidRDefault="00265922"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11C3" w14:textId="77777777" w:rsidR="004C4BFA" w:rsidRDefault="004C4BFA" w:rsidP="004C4BFA">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064DA8BC" wp14:editId="6C4EF243">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651E001"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020F9A7F" w14:textId="0DB010B1" w:rsidR="00B27110" w:rsidRPr="00E14DE3" w:rsidRDefault="004C4BFA" w:rsidP="004C4BFA">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2BA69EB4" w14:textId="77777777" w:rsidR="00B27110" w:rsidRDefault="00B271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B88B4" w14:textId="77777777" w:rsidR="00265922" w:rsidRDefault="00265922" w:rsidP="00B27110">
      <w:pPr>
        <w:spacing w:after="0" w:line="240" w:lineRule="auto"/>
      </w:pPr>
      <w:r>
        <w:separator/>
      </w:r>
    </w:p>
  </w:footnote>
  <w:footnote w:type="continuationSeparator" w:id="0">
    <w:p w14:paraId="242F3D69" w14:textId="77777777" w:rsidR="00265922" w:rsidRDefault="00265922"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C2A51D"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074"/>
    <w:multiLevelType w:val="singleLevel"/>
    <w:tmpl w:val="93ACC750"/>
    <w:lvl w:ilvl="0">
      <w:start w:val="1"/>
      <w:numFmt w:val="bullet"/>
      <w:lvlText w:val="-"/>
      <w:lvlJc w:val="left"/>
      <w:pPr>
        <w:tabs>
          <w:tab w:val="left" w:pos="425"/>
        </w:tabs>
        <w:ind w:left="425" w:hanging="142"/>
      </w:pPr>
      <w:rPr>
        <w:rFonts w:ascii="Symbol" w:hAnsi="Symbol" w:hint="default"/>
        <w:sz w:val="16"/>
      </w:rPr>
    </w:lvl>
  </w:abstractNum>
  <w:abstractNum w:abstractNumId="1" w15:restartNumberingAfterBreak="0">
    <w:nsid w:val="4EE8575E"/>
    <w:multiLevelType w:val="singleLevel"/>
    <w:tmpl w:val="DFD8F06E"/>
    <w:lvl w:ilvl="0">
      <w:start w:val="1"/>
      <w:numFmt w:val="bullet"/>
      <w:lvlText w:val="-"/>
      <w:lvlJc w:val="left"/>
      <w:pPr>
        <w:tabs>
          <w:tab w:val="left" w:pos="425"/>
        </w:tabs>
        <w:ind w:left="425" w:hanging="142"/>
      </w:pPr>
      <w:rPr>
        <w:rFonts w:ascii="Symbol" w:hAnsi="Symbol" w:hint="default"/>
        <w:sz w:val="16"/>
      </w:rPr>
    </w:lvl>
  </w:abstractNum>
  <w:abstractNum w:abstractNumId="2" w15:restartNumberingAfterBreak="0">
    <w:nsid w:val="75700E70"/>
    <w:multiLevelType w:val="singleLevel"/>
    <w:tmpl w:val="1128AA28"/>
    <w:lvl w:ilvl="0">
      <w:start w:val="1"/>
      <w:numFmt w:val="bullet"/>
      <w:lvlText w:val="-"/>
      <w:lvlJc w:val="left"/>
      <w:pPr>
        <w:tabs>
          <w:tab w:val="left" w:pos="425"/>
        </w:tabs>
        <w:ind w:left="425" w:hanging="142"/>
      </w:pPr>
      <w:rPr>
        <w:rFonts w:ascii="Symbol" w:hAnsi="Symbol" w:hint="default"/>
        <w:sz w:val="16"/>
      </w:rPr>
    </w:lvl>
  </w:abstractNum>
  <w:num w:numId="1" w16cid:durableId="226457380">
    <w:abstractNumId w:val="1"/>
  </w:num>
  <w:num w:numId="2" w16cid:durableId="452329778">
    <w:abstractNumId w:val="0"/>
  </w:num>
  <w:num w:numId="3" w16cid:durableId="710770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265922"/>
    <w:rsid w:val="003500C6"/>
    <w:rsid w:val="004C4BFA"/>
    <w:rsid w:val="00502F97"/>
    <w:rsid w:val="00933CBE"/>
    <w:rsid w:val="009D6FB9"/>
    <w:rsid w:val="00B27110"/>
    <w:rsid w:val="00CD4D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6.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44A71-288E-4618-BC82-F83CB844A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E142C-F916-48A4-BD2A-AF4B999E6CFF}">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3.xml><?xml version="1.0" encoding="utf-8"?>
<ds:datastoreItem xmlns:ds="http://schemas.openxmlformats.org/officeDocument/2006/customXml" ds:itemID="{9E8397DD-A289-41EA-AA39-51127FF84A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1379</Words>
  <Characters>7587</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6</cp:revision>
  <dcterms:created xsi:type="dcterms:W3CDTF">2022-03-30T09:01:00Z</dcterms:created>
  <dcterms:modified xsi:type="dcterms:W3CDTF">2022-12-22T08:37:00Z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